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10.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5093A" w14:textId="1D7908D0" w:rsidR="001F100B" w:rsidRDefault="00C03EC4" w:rsidP="00C03EC4">
      <w:pPr>
        <w:ind w:left="-1418"/>
      </w:pPr>
      <w:r>
        <w:rPr>
          <w:noProof/>
          <w:lang w:eastAsia="fr-FR"/>
        </w:rPr>
        <w:drawing>
          <wp:inline distT="0" distB="0" distL="0" distR="0" wp14:anchorId="4F1A4B2E" wp14:editId="7B656D8C">
            <wp:extent cx="7611686" cy="10698480"/>
            <wp:effectExtent l="0" t="0" r="889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7620958" cy="10711512"/>
                    </a:xfrm>
                    <a:prstGeom prst="rect">
                      <a:avLst/>
                    </a:prstGeom>
                  </pic:spPr>
                </pic:pic>
              </a:graphicData>
            </a:graphic>
          </wp:inline>
        </w:drawing>
      </w:r>
    </w:p>
    <w:p w14:paraId="4753D9B2" w14:textId="76D35C19" w:rsidR="00C03EC4" w:rsidRDefault="00C03EC4"/>
    <w:p w14:paraId="25813481" w14:textId="68C7F16F" w:rsidR="00C03EC4" w:rsidRDefault="00C03EC4"/>
    <w:p w14:paraId="2753CF4B" w14:textId="77777777" w:rsidR="00C03EC4" w:rsidRPr="002E75D4" w:rsidRDefault="00C03EC4" w:rsidP="00C03EC4">
      <w:pPr>
        <w:tabs>
          <w:tab w:val="left" w:pos="1495"/>
        </w:tabs>
        <w:rPr>
          <w:rFonts w:asciiTheme="majorHAnsi" w:hAnsiTheme="majorHAnsi" w:cstheme="majorHAnsi"/>
          <w:sz w:val="28"/>
        </w:rPr>
      </w:pPr>
      <w:bookmarkStart w:id="0" w:name="_Hlk84367528"/>
      <w:r w:rsidRPr="002E75D4">
        <w:rPr>
          <w:rFonts w:asciiTheme="majorHAnsi" w:hAnsiTheme="majorHAnsi" w:cstheme="majorHAnsi"/>
          <w:noProof/>
          <w:sz w:val="48"/>
          <w:szCs w:val="48"/>
          <w:lang w:eastAsia="fr-FR"/>
        </w:rPr>
        <w:drawing>
          <wp:anchor distT="0" distB="0" distL="114300" distR="114300" simplePos="0" relativeHeight="251676672" behindDoc="1" locked="0" layoutInCell="1" allowOverlap="1" wp14:anchorId="0652F21E" wp14:editId="371F20DF">
            <wp:simplePos x="0" y="0"/>
            <wp:positionH relativeFrom="column">
              <wp:posOffset>-1017905</wp:posOffset>
            </wp:positionH>
            <wp:positionV relativeFrom="paragraph">
              <wp:posOffset>-1062990</wp:posOffset>
            </wp:positionV>
            <wp:extent cx="7664450" cy="11414760"/>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bc4627a60db23ac5cf8f8b79697b13.jpg"/>
                    <pic:cNvPicPr/>
                  </pic:nvPicPr>
                  <pic:blipFill>
                    <a:blip r:embed="rId8">
                      <a:duotone>
                        <a:srgbClr val="5B9BD5">
                          <a:shade val="45000"/>
                          <a:satMod val="135000"/>
                        </a:srgbClr>
                        <a:prstClr val="white"/>
                      </a:duotone>
                      <a:extLst>
                        <a:ext uri="{28A0092B-C50C-407E-A947-70E740481C1C}">
                          <a14:useLocalDpi xmlns:a14="http://schemas.microsoft.com/office/drawing/2010/main" val="0"/>
                        </a:ext>
                      </a:extLst>
                    </a:blip>
                    <a:stretch>
                      <a:fillRect/>
                    </a:stretch>
                  </pic:blipFill>
                  <pic:spPr>
                    <a:xfrm>
                      <a:off x="0" y="0"/>
                      <a:ext cx="7664450" cy="114147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8"/>
        </w:rPr>
        <w:tab/>
      </w:r>
    </w:p>
    <w:p w14:paraId="55443FD2" w14:textId="77777777" w:rsidR="00C03EC4" w:rsidRPr="002E75D4" w:rsidRDefault="00C03EC4" w:rsidP="00C03EC4">
      <w:pPr>
        <w:rPr>
          <w:rFonts w:asciiTheme="majorHAnsi" w:hAnsiTheme="majorHAnsi" w:cstheme="majorHAnsi"/>
          <w:sz w:val="28"/>
        </w:rPr>
      </w:pPr>
    </w:p>
    <w:p w14:paraId="36513FC5" w14:textId="77777777" w:rsidR="00C03EC4" w:rsidRPr="002E75D4" w:rsidRDefault="00C03EC4" w:rsidP="00C03EC4">
      <w:pPr>
        <w:rPr>
          <w:rFonts w:asciiTheme="majorHAnsi" w:hAnsiTheme="majorHAnsi" w:cstheme="majorHAnsi"/>
          <w:sz w:val="28"/>
        </w:rPr>
      </w:pPr>
    </w:p>
    <w:p w14:paraId="6608324B" w14:textId="77777777" w:rsidR="00C03EC4" w:rsidRPr="002E75D4" w:rsidRDefault="00C03EC4" w:rsidP="00C03EC4">
      <w:pPr>
        <w:rPr>
          <w:rFonts w:asciiTheme="majorHAnsi" w:hAnsiTheme="majorHAnsi" w:cstheme="majorHAnsi"/>
          <w:sz w:val="28"/>
        </w:rPr>
      </w:pPr>
    </w:p>
    <w:p w14:paraId="637E5D42" w14:textId="77777777" w:rsidR="00C03EC4" w:rsidRPr="002E75D4" w:rsidRDefault="00C03EC4" w:rsidP="00C03EC4">
      <w:pPr>
        <w:rPr>
          <w:rFonts w:asciiTheme="majorHAnsi" w:hAnsiTheme="majorHAnsi" w:cstheme="majorHAnsi"/>
          <w:sz w:val="28"/>
        </w:rPr>
      </w:pPr>
    </w:p>
    <w:p w14:paraId="01CC8A0B" w14:textId="77777777" w:rsidR="00C03EC4" w:rsidRPr="002E75D4" w:rsidRDefault="00C03EC4" w:rsidP="00C03EC4">
      <w:pPr>
        <w:rPr>
          <w:rFonts w:asciiTheme="majorHAnsi" w:hAnsiTheme="majorHAnsi" w:cstheme="majorHAnsi"/>
          <w:sz w:val="28"/>
        </w:rPr>
      </w:pPr>
    </w:p>
    <w:p w14:paraId="1ED86C0A" w14:textId="77777777" w:rsidR="00C03EC4" w:rsidRPr="002E75D4" w:rsidRDefault="00C03EC4" w:rsidP="00C03EC4">
      <w:pPr>
        <w:rPr>
          <w:rFonts w:asciiTheme="majorHAnsi" w:hAnsiTheme="majorHAnsi" w:cstheme="majorHAnsi"/>
          <w:sz w:val="28"/>
        </w:rPr>
      </w:pPr>
    </w:p>
    <w:p w14:paraId="6FB57D45" w14:textId="77777777" w:rsidR="00C03EC4" w:rsidRPr="002E75D4" w:rsidRDefault="00C03EC4" w:rsidP="00C03EC4">
      <w:pPr>
        <w:rPr>
          <w:rFonts w:asciiTheme="majorHAnsi" w:hAnsiTheme="majorHAnsi" w:cstheme="majorHAnsi"/>
          <w:sz w:val="28"/>
        </w:rPr>
      </w:pPr>
    </w:p>
    <w:p w14:paraId="2093B568" w14:textId="77777777" w:rsidR="00C03EC4" w:rsidRPr="002E75D4" w:rsidRDefault="00C03EC4" w:rsidP="00C03EC4">
      <w:pPr>
        <w:rPr>
          <w:rFonts w:asciiTheme="majorHAnsi" w:hAnsiTheme="majorHAnsi" w:cstheme="majorHAnsi"/>
          <w:sz w:val="28"/>
        </w:rPr>
      </w:pPr>
    </w:p>
    <w:p w14:paraId="5DA31BA4" w14:textId="77777777" w:rsidR="00C03EC4" w:rsidRPr="002E75D4" w:rsidRDefault="00C03EC4" w:rsidP="00C03EC4">
      <w:pPr>
        <w:rPr>
          <w:rFonts w:asciiTheme="majorHAnsi" w:hAnsiTheme="majorHAnsi" w:cstheme="majorHAnsi"/>
          <w:sz w:val="28"/>
        </w:rPr>
      </w:pPr>
    </w:p>
    <w:p w14:paraId="556839A5" w14:textId="77777777" w:rsidR="00C03EC4" w:rsidRPr="002E75D4" w:rsidRDefault="00C03EC4" w:rsidP="00C03EC4">
      <w:pPr>
        <w:widowControl w:val="0"/>
        <w:suppressAutoHyphens/>
        <w:spacing w:after="0"/>
        <w:jc w:val="center"/>
        <w:rPr>
          <w:rFonts w:cstheme="minorHAnsi"/>
          <w:b/>
          <w:kern w:val="18"/>
          <w:sz w:val="60"/>
          <w:szCs w:val="60"/>
          <w:lang w:val="fr-BE"/>
        </w:rPr>
      </w:pPr>
      <w:r w:rsidRPr="002E75D4">
        <w:rPr>
          <w:rFonts w:cstheme="minorHAnsi"/>
          <w:b/>
          <w:kern w:val="18"/>
          <w:sz w:val="60"/>
          <w:szCs w:val="60"/>
          <w:lang w:val="fr-BE"/>
        </w:rPr>
        <w:t>CONTRIBUTION</w:t>
      </w:r>
      <w:r>
        <w:rPr>
          <w:rFonts w:cstheme="minorHAnsi"/>
          <w:b/>
          <w:kern w:val="18"/>
          <w:sz w:val="60"/>
          <w:szCs w:val="60"/>
          <w:lang w:val="fr-BE"/>
        </w:rPr>
        <w:t xml:space="preserve"> </w:t>
      </w:r>
      <w:r w:rsidRPr="002E75D4">
        <w:rPr>
          <w:rFonts w:cstheme="minorHAnsi"/>
          <w:b/>
          <w:kern w:val="18"/>
          <w:sz w:val="60"/>
          <w:szCs w:val="60"/>
          <w:lang w:val="fr-BE"/>
        </w:rPr>
        <w:t>DETERMINEE</w:t>
      </w:r>
    </w:p>
    <w:p w14:paraId="1A784B55" w14:textId="77777777" w:rsidR="00C03EC4" w:rsidRDefault="00C03EC4" w:rsidP="00C03EC4">
      <w:pPr>
        <w:widowControl w:val="0"/>
        <w:suppressAutoHyphens/>
        <w:spacing w:after="0"/>
        <w:jc w:val="center"/>
        <w:rPr>
          <w:rFonts w:cstheme="minorHAnsi"/>
          <w:b/>
          <w:kern w:val="18"/>
          <w:sz w:val="60"/>
          <w:szCs w:val="60"/>
          <w:lang w:val="fr-BE"/>
        </w:rPr>
      </w:pPr>
      <w:r w:rsidRPr="002E75D4">
        <w:rPr>
          <w:rFonts w:cstheme="minorHAnsi"/>
          <w:b/>
          <w:kern w:val="18"/>
          <w:sz w:val="60"/>
          <w:szCs w:val="60"/>
          <w:lang w:val="fr-BE"/>
        </w:rPr>
        <w:t>AU NIVEAU NATIONAL REVISEE</w:t>
      </w:r>
    </w:p>
    <w:p w14:paraId="13EEADEF" w14:textId="77777777" w:rsidR="00C03EC4" w:rsidRPr="00F55CD5" w:rsidRDefault="00C03EC4" w:rsidP="00C03EC4">
      <w:pPr>
        <w:widowControl w:val="0"/>
        <w:suppressAutoHyphens/>
        <w:spacing w:after="0"/>
        <w:jc w:val="center"/>
        <w:rPr>
          <w:rFonts w:cstheme="minorHAnsi"/>
          <w:b/>
          <w:kern w:val="18"/>
          <w:sz w:val="60"/>
          <w:szCs w:val="60"/>
          <w:lang w:val="fr-BE"/>
        </w:rPr>
        <w:sectPr w:rsidR="00C03EC4" w:rsidRPr="00F55CD5" w:rsidSect="00C03EC4">
          <w:footerReference w:type="even" r:id="rId9"/>
          <w:footerReference w:type="default" r:id="rId10"/>
          <w:footerReference w:type="first" r:id="rId11"/>
          <w:pgSz w:w="11906" w:h="16838"/>
          <w:pgMar w:top="0" w:right="1440" w:bottom="1440" w:left="1440" w:header="708" w:footer="708" w:gutter="0"/>
          <w:pgNumType w:start="1"/>
          <w:cols w:space="708"/>
          <w:titlePg/>
          <w:docGrid w:linePitch="360"/>
        </w:sectPr>
      </w:pPr>
    </w:p>
    <w:p w14:paraId="46936A30" w14:textId="77777777" w:rsidR="00C03EC4" w:rsidRPr="00F24A9E" w:rsidRDefault="00C03EC4" w:rsidP="00C03EC4">
      <w:pPr>
        <w:spacing w:after="0" w:line="240" w:lineRule="auto"/>
        <w:jc w:val="both"/>
        <w:rPr>
          <w:rFonts w:asciiTheme="majorHAnsi" w:hAnsiTheme="majorHAnsi" w:cstheme="majorHAnsi"/>
          <w:b/>
          <w:sz w:val="36"/>
          <w:szCs w:val="36"/>
        </w:rPr>
      </w:pPr>
      <w:r w:rsidRPr="00F24A9E">
        <w:rPr>
          <w:rFonts w:asciiTheme="majorHAnsi" w:hAnsiTheme="majorHAnsi" w:cstheme="majorHAnsi"/>
          <w:b/>
          <w:sz w:val="36"/>
          <w:szCs w:val="36"/>
        </w:rPr>
        <w:lastRenderedPageBreak/>
        <w:t xml:space="preserve">RESUME EXECUTIF </w:t>
      </w:r>
    </w:p>
    <w:p w14:paraId="205D8E67" w14:textId="77777777" w:rsidR="00C03EC4" w:rsidRPr="002E75D4" w:rsidRDefault="00C03EC4" w:rsidP="00C03EC4">
      <w:pPr>
        <w:spacing w:after="0" w:line="240" w:lineRule="auto"/>
        <w:jc w:val="both"/>
        <w:rPr>
          <w:rFonts w:asciiTheme="majorHAnsi" w:hAnsiTheme="majorHAnsi" w:cstheme="majorHAnsi"/>
          <w:sz w:val="24"/>
        </w:rPr>
      </w:pPr>
    </w:p>
    <w:p w14:paraId="402CCC86" w14:textId="77777777" w:rsidR="00C03EC4" w:rsidRPr="002E75D4" w:rsidRDefault="00C03EC4" w:rsidP="00C03EC4">
      <w:pPr>
        <w:spacing w:after="120" w:line="240" w:lineRule="auto"/>
        <w:jc w:val="both"/>
        <w:rPr>
          <w:rFonts w:asciiTheme="majorHAnsi" w:hAnsiTheme="majorHAnsi" w:cstheme="majorHAnsi"/>
          <w:sz w:val="24"/>
        </w:rPr>
      </w:pPr>
      <w:r w:rsidRPr="002E75D4">
        <w:rPr>
          <w:rFonts w:asciiTheme="majorHAnsi" w:hAnsiTheme="majorHAnsi" w:cstheme="majorHAnsi"/>
          <w:sz w:val="24"/>
        </w:rPr>
        <w:t>Le Mali</w:t>
      </w:r>
      <w:r>
        <w:rPr>
          <w:rFonts w:asciiTheme="majorHAnsi" w:hAnsiTheme="majorHAnsi" w:cstheme="majorHAnsi"/>
          <w:sz w:val="24"/>
        </w:rPr>
        <w:t>,</w:t>
      </w:r>
      <w:r w:rsidRPr="002E75D4">
        <w:rPr>
          <w:rFonts w:asciiTheme="majorHAnsi" w:hAnsiTheme="majorHAnsi" w:cstheme="majorHAnsi"/>
          <w:sz w:val="24"/>
        </w:rPr>
        <w:t xml:space="preserve"> soucieux de son développement économique harmonieux dans un contexte des changements climatiques</w:t>
      </w:r>
      <w:r>
        <w:rPr>
          <w:rFonts w:asciiTheme="majorHAnsi" w:hAnsiTheme="majorHAnsi" w:cstheme="majorHAnsi"/>
          <w:sz w:val="24"/>
        </w:rPr>
        <w:t>,</w:t>
      </w:r>
      <w:r w:rsidRPr="002E75D4">
        <w:rPr>
          <w:rFonts w:asciiTheme="majorHAnsi" w:hAnsiTheme="majorHAnsi" w:cstheme="majorHAnsi"/>
          <w:sz w:val="24"/>
        </w:rPr>
        <w:t xml:space="preserve"> a pris l’engagement de contribuer à l’effort collectif de l’atteinte des objectifs de l’Accord de Paris sur le climat en 2015.  </w:t>
      </w:r>
    </w:p>
    <w:p w14:paraId="11AF18FC" w14:textId="77777777" w:rsidR="00C03EC4" w:rsidRPr="002E75D4" w:rsidRDefault="00C03EC4" w:rsidP="00C03EC4">
      <w:pPr>
        <w:spacing w:after="120" w:line="240" w:lineRule="auto"/>
        <w:jc w:val="both"/>
        <w:rPr>
          <w:rFonts w:asciiTheme="majorHAnsi" w:hAnsiTheme="majorHAnsi" w:cstheme="majorHAnsi"/>
          <w:sz w:val="24"/>
        </w:rPr>
      </w:pPr>
      <w:r w:rsidRPr="002E75D4">
        <w:rPr>
          <w:rFonts w:asciiTheme="majorHAnsi" w:hAnsiTheme="majorHAnsi" w:cstheme="majorHAnsi"/>
          <w:sz w:val="24"/>
        </w:rPr>
        <w:t>L’économie du Mali repose essentiellement sur l’exploitation des ressources naturelles. La croissance démographique (3,36 %/an) et les contraintes climatiques ont entraîné une surexploitation et une dégradation de ces ressources. Les deux tiers du pays sont arides et semi arides dominés par les problèmes de désertification. Les risques naturels se sont accrus avec l’intensification des changements climatiques : sécheresses à répétition, inondations, vents forts, feux de brousse, déstabilisation du régime des pluies. L’agriculture qui est la plus touchée représente 45% du PNB et occupe environ 80% de la population active.</w:t>
      </w:r>
    </w:p>
    <w:p w14:paraId="055E2908" w14:textId="77777777" w:rsidR="00C03EC4" w:rsidRPr="002E75D4" w:rsidRDefault="00C03EC4" w:rsidP="00C03EC4">
      <w:pPr>
        <w:spacing w:after="120" w:line="240" w:lineRule="auto"/>
        <w:jc w:val="both"/>
        <w:rPr>
          <w:rFonts w:asciiTheme="majorHAnsi" w:hAnsiTheme="majorHAnsi" w:cstheme="majorHAnsi"/>
          <w:sz w:val="24"/>
        </w:rPr>
      </w:pPr>
      <w:r w:rsidRPr="002E75D4">
        <w:rPr>
          <w:rFonts w:asciiTheme="majorHAnsi" w:hAnsiTheme="majorHAnsi" w:cstheme="majorHAnsi"/>
          <w:sz w:val="24"/>
        </w:rPr>
        <w:t>Cette situation est d’autant plus grave que les scénarios climatiques à l’horizon 2100 prévoient en moyenne une augmentation des températures 3°C et une diminution des pluies de 22% sur l’ensemble du pays.</w:t>
      </w:r>
    </w:p>
    <w:p w14:paraId="0858D534" w14:textId="77777777" w:rsidR="00C03EC4" w:rsidRPr="002E75D4" w:rsidRDefault="00C03EC4" w:rsidP="00C03EC4">
      <w:pPr>
        <w:spacing w:after="120" w:line="240" w:lineRule="auto"/>
        <w:jc w:val="both"/>
        <w:rPr>
          <w:rFonts w:asciiTheme="majorHAnsi" w:hAnsiTheme="majorHAnsi" w:cstheme="majorHAnsi"/>
          <w:sz w:val="24"/>
        </w:rPr>
      </w:pPr>
      <w:r w:rsidRPr="002E75D4">
        <w:rPr>
          <w:rFonts w:asciiTheme="majorHAnsi" w:hAnsiTheme="majorHAnsi" w:cstheme="majorHAnsi"/>
          <w:sz w:val="24"/>
        </w:rPr>
        <w:t>Au plan macro-économique</w:t>
      </w:r>
      <w:r>
        <w:rPr>
          <w:rFonts w:asciiTheme="majorHAnsi" w:hAnsiTheme="majorHAnsi" w:cstheme="majorHAnsi"/>
          <w:sz w:val="24"/>
        </w:rPr>
        <w:t>,</w:t>
      </w:r>
      <w:r w:rsidRPr="002E75D4">
        <w:rPr>
          <w:rFonts w:asciiTheme="majorHAnsi" w:hAnsiTheme="majorHAnsi" w:cstheme="majorHAnsi"/>
          <w:sz w:val="24"/>
        </w:rPr>
        <w:t xml:space="preserve"> le pays intègre les changements climatiques dans les processus de planification, notamment dans la mise en œuvre du </w:t>
      </w:r>
      <w:r w:rsidRPr="002E75D4">
        <w:rPr>
          <w:rFonts w:asciiTheme="majorHAnsi" w:hAnsiTheme="majorHAnsi" w:cstheme="majorHAnsi"/>
          <w:sz w:val="24"/>
          <w:szCs w:val="32"/>
          <w:lang w:bidi="he-IL"/>
        </w:rPr>
        <w:t>Cadre Strat</w:t>
      </w:r>
      <w:r w:rsidRPr="002E75D4">
        <w:rPr>
          <w:rFonts w:asciiTheme="majorHAnsi" w:hAnsiTheme="majorHAnsi" w:cstheme="majorHAnsi"/>
          <w:sz w:val="24"/>
          <w:szCs w:val="32"/>
        </w:rPr>
        <w:t>é</w:t>
      </w:r>
      <w:r w:rsidRPr="002E75D4">
        <w:rPr>
          <w:rFonts w:asciiTheme="majorHAnsi" w:hAnsiTheme="majorHAnsi" w:cstheme="majorHAnsi"/>
          <w:sz w:val="24"/>
          <w:szCs w:val="32"/>
          <w:lang w:bidi="he-IL"/>
        </w:rPr>
        <w:t xml:space="preserve">gique pour la Relance </w:t>
      </w:r>
      <w:r w:rsidRPr="002E75D4">
        <w:rPr>
          <w:rFonts w:asciiTheme="majorHAnsi" w:hAnsiTheme="majorHAnsi" w:cstheme="majorHAnsi"/>
          <w:sz w:val="24"/>
          <w:szCs w:val="32"/>
        </w:rPr>
        <w:t>É</w:t>
      </w:r>
      <w:r w:rsidRPr="002E75D4">
        <w:rPr>
          <w:rFonts w:asciiTheme="majorHAnsi" w:hAnsiTheme="majorHAnsi" w:cstheme="majorHAnsi"/>
          <w:sz w:val="24"/>
          <w:szCs w:val="32"/>
          <w:lang w:bidi="he-IL"/>
        </w:rPr>
        <w:t>conomique et le D</w:t>
      </w:r>
      <w:r w:rsidRPr="002E75D4">
        <w:rPr>
          <w:rFonts w:asciiTheme="majorHAnsi" w:hAnsiTheme="majorHAnsi" w:cstheme="majorHAnsi"/>
          <w:sz w:val="24"/>
          <w:szCs w:val="32"/>
        </w:rPr>
        <w:t>é</w:t>
      </w:r>
      <w:r w:rsidRPr="002E75D4">
        <w:rPr>
          <w:rFonts w:asciiTheme="majorHAnsi" w:hAnsiTheme="majorHAnsi" w:cstheme="majorHAnsi"/>
          <w:sz w:val="24"/>
          <w:szCs w:val="32"/>
          <w:lang w:bidi="he-IL"/>
        </w:rPr>
        <w:t>veloppement Durable (CREDD)</w:t>
      </w:r>
      <w:r w:rsidRPr="002E75D4">
        <w:rPr>
          <w:rFonts w:asciiTheme="majorHAnsi" w:hAnsiTheme="majorHAnsi" w:cstheme="majorHAnsi"/>
          <w:sz w:val="24"/>
          <w:szCs w:val="24"/>
        </w:rPr>
        <w:t>, qui constitue le cadre unique de référence de l’ensemble des politiques de développement du pays</w:t>
      </w:r>
      <w:r w:rsidRPr="002E75D4">
        <w:rPr>
          <w:rFonts w:asciiTheme="majorHAnsi" w:hAnsiTheme="majorHAnsi" w:cstheme="majorHAnsi"/>
          <w:sz w:val="24"/>
        </w:rPr>
        <w:t xml:space="preserve">, ainsi que dans la Politique Nationale de Protection de l’Environnement et, depuis 2011, dans la Politique Nationale sur les Changements Climatiques </w:t>
      </w:r>
    </w:p>
    <w:p w14:paraId="52F7CF55" w14:textId="77777777" w:rsidR="00C03EC4" w:rsidRPr="002E75D4" w:rsidRDefault="00C03EC4" w:rsidP="00C03EC4">
      <w:pPr>
        <w:spacing w:after="120" w:line="240" w:lineRule="auto"/>
        <w:jc w:val="both"/>
        <w:rPr>
          <w:rFonts w:asciiTheme="majorHAnsi" w:hAnsiTheme="majorHAnsi" w:cstheme="majorHAnsi"/>
          <w:sz w:val="24"/>
        </w:rPr>
      </w:pPr>
      <w:r w:rsidRPr="002E75D4">
        <w:rPr>
          <w:rFonts w:asciiTheme="majorHAnsi" w:hAnsiTheme="majorHAnsi" w:cstheme="majorHAnsi"/>
          <w:sz w:val="24"/>
        </w:rPr>
        <w:t>En 2015, le Mali a soumis sa première CDN, malgré le</w:t>
      </w:r>
      <w:r>
        <w:rPr>
          <w:rFonts w:asciiTheme="majorHAnsi" w:hAnsiTheme="majorHAnsi" w:cstheme="majorHAnsi"/>
          <w:sz w:val="24"/>
        </w:rPr>
        <w:t xml:space="preserve"> fait</w:t>
      </w:r>
      <w:r w:rsidRPr="002E75D4">
        <w:rPr>
          <w:rFonts w:asciiTheme="majorHAnsi" w:hAnsiTheme="majorHAnsi" w:cstheme="majorHAnsi"/>
          <w:sz w:val="24"/>
        </w:rPr>
        <w:t xml:space="preserve"> que le Pays reste un faible émetteur des Gaz à Effet de Serre. Malgré un contexte économique difficile, un certain nombre mesures </w:t>
      </w:r>
      <w:r>
        <w:rPr>
          <w:rFonts w:asciiTheme="majorHAnsi" w:hAnsiTheme="majorHAnsi" w:cstheme="majorHAnsi"/>
          <w:sz w:val="24"/>
        </w:rPr>
        <w:t>ont</w:t>
      </w:r>
      <w:r w:rsidRPr="002E75D4">
        <w:rPr>
          <w:rFonts w:asciiTheme="majorHAnsi" w:hAnsiTheme="majorHAnsi" w:cstheme="majorHAnsi"/>
          <w:sz w:val="24"/>
        </w:rPr>
        <w:t xml:space="preserve"> été pris</w:t>
      </w:r>
      <w:r>
        <w:rPr>
          <w:rFonts w:asciiTheme="majorHAnsi" w:hAnsiTheme="majorHAnsi" w:cstheme="majorHAnsi"/>
          <w:sz w:val="24"/>
        </w:rPr>
        <w:t>e</w:t>
      </w:r>
      <w:r w:rsidRPr="002E75D4">
        <w:rPr>
          <w:rFonts w:asciiTheme="majorHAnsi" w:hAnsiTheme="majorHAnsi" w:cstheme="majorHAnsi"/>
          <w:sz w:val="24"/>
        </w:rPr>
        <w:t xml:space="preserve"> par le Gouvernement pour sa mise en œuvre. Sur la base de l’évaluation de la première CDN, avec les </w:t>
      </w:r>
      <w:r>
        <w:rPr>
          <w:rFonts w:asciiTheme="majorHAnsi" w:hAnsiTheme="majorHAnsi" w:cstheme="majorHAnsi"/>
          <w:sz w:val="24"/>
        </w:rPr>
        <w:t xml:space="preserve">urgences climatiques </w:t>
      </w:r>
      <w:r w:rsidRPr="002E75D4">
        <w:rPr>
          <w:rFonts w:asciiTheme="majorHAnsi" w:hAnsiTheme="majorHAnsi" w:cstheme="majorHAnsi"/>
          <w:sz w:val="24"/>
        </w:rPr>
        <w:t>constatées au niveau mondial, le Mali s’est inscrit dans une démarche collective de rehaussement de</w:t>
      </w:r>
      <w:r>
        <w:rPr>
          <w:rFonts w:asciiTheme="majorHAnsi" w:hAnsiTheme="majorHAnsi" w:cstheme="majorHAnsi"/>
          <w:sz w:val="24"/>
        </w:rPr>
        <w:t xml:space="preserve"> </w:t>
      </w:r>
      <w:r w:rsidRPr="002E75D4">
        <w:rPr>
          <w:rFonts w:asciiTheme="majorHAnsi" w:hAnsiTheme="majorHAnsi" w:cstheme="majorHAnsi"/>
          <w:sz w:val="24"/>
        </w:rPr>
        <w:t>s</w:t>
      </w:r>
      <w:r>
        <w:rPr>
          <w:rFonts w:asciiTheme="majorHAnsi" w:hAnsiTheme="majorHAnsi" w:cstheme="majorHAnsi"/>
          <w:sz w:val="24"/>
        </w:rPr>
        <w:t>es</w:t>
      </w:r>
      <w:r w:rsidRPr="002E75D4">
        <w:rPr>
          <w:rFonts w:asciiTheme="majorHAnsi" w:hAnsiTheme="majorHAnsi" w:cstheme="majorHAnsi"/>
          <w:sz w:val="24"/>
        </w:rPr>
        <w:t xml:space="preserve"> ambitions. </w:t>
      </w:r>
    </w:p>
    <w:p w14:paraId="07D9C680"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rPr>
        <w:t xml:space="preserve">Ce rehaussement de l’ambition </w:t>
      </w:r>
      <w:r w:rsidRPr="002E75D4">
        <w:rPr>
          <w:rFonts w:asciiTheme="majorHAnsi" w:hAnsiTheme="majorHAnsi" w:cstheme="majorHAnsi"/>
          <w:sz w:val="24"/>
          <w:szCs w:val="24"/>
        </w:rPr>
        <w:t>du Mali s’est fait à travers les actions suivantes :</w:t>
      </w:r>
    </w:p>
    <w:p w14:paraId="48A0CF14" w14:textId="77777777" w:rsidR="00C03EC4" w:rsidRPr="002E75D4" w:rsidRDefault="00C03EC4" w:rsidP="00C03EC4">
      <w:pPr>
        <w:pStyle w:val="Paragraphedeliste"/>
        <w:numPr>
          <w:ilvl w:val="0"/>
          <w:numId w:val="26"/>
        </w:num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 l’ajout des déchets comme 4</w:t>
      </w:r>
      <w:r w:rsidRPr="002E75D4">
        <w:rPr>
          <w:rFonts w:asciiTheme="majorHAnsi" w:hAnsiTheme="majorHAnsi" w:cstheme="majorHAnsi"/>
          <w:sz w:val="24"/>
          <w:szCs w:val="24"/>
          <w:vertAlign w:val="superscript"/>
        </w:rPr>
        <w:t>ème</w:t>
      </w:r>
      <w:r w:rsidRPr="002E75D4">
        <w:rPr>
          <w:rFonts w:asciiTheme="majorHAnsi" w:hAnsiTheme="majorHAnsi" w:cstheme="majorHAnsi"/>
          <w:sz w:val="24"/>
          <w:szCs w:val="24"/>
        </w:rPr>
        <w:t xml:space="preserve"> secteur de sa CDN ;</w:t>
      </w:r>
    </w:p>
    <w:p w14:paraId="5C34FD0B" w14:textId="77777777" w:rsidR="00C03EC4" w:rsidRPr="002E75D4" w:rsidRDefault="00C03EC4" w:rsidP="00C03EC4">
      <w:pPr>
        <w:pStyle w:val="Paragraphedeliste"/>
        <w:numPr>
          <w:ilvl w:val="0"/>
          <w:numId w:val="26"/>
        </w:num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 </w:t>
      </w:r>
      <w:r>
        <w:rPr>
          <w:rFonts w:asciiTheme="majorHAnsi" w:hAnsiTheme="majorHAnsi" w:cstheme="majorHAnsi"/>
          <w:sz w:val="24"/>
          <w:szCs w:val="24"/>
        </w:rPr>
        <w:t>l</w:t>
      </w:r>
      <w:r w:rsidRPr="002E75D4">
        <w:rPr>
          <w:rFonts w:asciiTheme="majorHAnsi" w:hAnsiTheme="majorHAnsi" w:cstheme="majorHAnsi"/>
          <w:sz w:val="24"/>
          <w:szCs w:val="24"/>
        </w:rPr>
        <w:t xml:space="preserve">’augmentation </w:t>
      </w:r>
      <w:r>
        <w:rPr>
          <w:rFonts w:asciiTheme="majorHAnsi" w:hAnsiTheme="majorHAnsi" w:cstheme="majorHAnsi"/>
          <w:sz w:val="24"/>
          <w:szCs w:val="24"/>
        </w:rPr>
        <w:t>d</w:t>
      </w:r>
      <w:r w:rsidRPr="002E75D4">
        <w:rPr>
          <w:rFonts w:asciiTheme="majorHAnsi" w:hAnsiTheme="majorHAnsi" w:cstheme="majorHAnsi"/>
          <w:sz w:val="24"/>
          <w:szCs w:val="24"/>
        </w:rPr>
        <w:t>es ambitions de réduction des émissions pour le secteur des changements d’affectation des Terres et de la Foresterie qui passe de 21 à 39% de réduction des émissions à l’horizon 2030;</w:t>
      </w:r>
    </w:p>
    <w:p w14:paraId="77DC7379" w14:textId="77777777" w:rsidR="00C03EC4" w:rsidRPr="002E75D4" w:rsidRDefault="00C03EC4" w:rsidP="00C03EC4">
      <w:pPr>
        <w:pStyle w:val="Paragraphedeliste"/>
        <w:numPr>
          <w:ilvl w:val="0"/>
          <w:numId w:val="26"/>
        </w:numPr>
        <w:spacing w:after="120" w:line="240" w:lineRule="auto"/>
        <w:jc w:val="both"/>
        <w:rPr>
          <w:rFonts w:asciiTheme="majorHAnsi" w:hAnsiTheme="majorHAnsi" w:cstheme="majorHAnsi"/>
          <w:sz w:val="24"/>
          <w:szCs w:val="24"/>
        </w:rPr>
      </w:pPr>
      <w:r>
        <w:rPr>
          <w:rFonts w:asciiTheme="majorHAnsi" w:hAnsiTheme="majorHAnsi" w:cstheme="majorHAnsi"/>
          <w:sz w:val="24"/>
          <w:szCs w:val="24"/>
        </w:rPr>
        <w:t>la séquestration de</w:t>
      </w:r>
      <w:r w:rsidRPr="002E75D4">
        <w:rPr>
          <w:rFonts w:asciiTheme="majorHAnsi" w:hAnsiTheme="majorHAnsi" w:cstheme="majorHAnsi"/>
          <w:sz w:val="24"/>
          <w:szCs w:val="24"/>
        </w:rPr>
        <w:t xml:space="preserve"> 211 864 </w:t>
      </w:r>
      <w:r w:rsidRPr="002E75D4">
        <w:rPr>
          <w:rFonts w:asciiTheme="majorHAnsi" w:hAnsiTheme="majorHAnsi" w:cstheme="majorHAnsi"/>
          <w:spacing w:val="2"/>
          <w:sz w:val="24"/>
          <w:szCs w:val="24"/>
        </w:rPr>
        <w:t xml:space="preserve">KT Eq CO2 </w:t>
      </w:r>
      <w:r w:rsidRPr="002E75D4">
        <w:rPr>
          <w:rFonts w:asciiTheme="majorHAnsi" w:hAnsiTheme="majorHAnsi" w:cstheme="majorHAnsi"/>
          <w:sz w:val="24"/>
          <w:szCs w:val="24"/>
        </w:rPr>
        <w:t xml:space="preserve">Kilo Tonnes équivalent CO2 </w:t>
      </w:r>
      <w:r>
        <w:rPr>
          <w:rFonts w:asciiTheme="majorHAnsi" w:hAnsiTheme="majorHAnsi" w:cstheme="majorHAnsi"/>
          <w:sz w:val="24"/>
          <w:szCs w:val="24"/>
        </w:rPr>
        <w:t xml:space="preserve">en 2030 </w:t>
      </w:r>
      <w:r w:rsidRPr="002E75D4">
        <w:rPr>
          <w:rFonts w:asciiTheme="majorHAnsi" w:hAnsiTheme="majorHAnsi" w:cstheme="majorHAnsi"/>
          <w:sz w:val="24"/>
          <w:szCs w:val="24"/>
        </w:rPr>
        <w:t>selon le scénario de base et  296 483</w:t>
      </w:r>
      <w:r w:rsidRPr="002E75D4">
        <w:rPr>
          <w:rFonts w:asciiTheme="majorHAnsi" w:hAnsiTheme="majorHAnsi" w:cstheme="majorHAnsi"/>
          <w:spacing w:val="2"/>
          <w:sz w:val="24"/>
          <w:szCs w:val="24"/>
        </w:rPr>
        <w:t xml:space="preserve"> KT </w:t>
      </w:r>
      <w:r w:rsidRPr="002E75D4">
        <w:rPr>
          <w:rFonts w:asciiTheme="majorHAnsi" w:hAnsiTheme="majorHAnsi" w:cstheme="majorHAnsi"/>
          <w:sz w:val="24"/>
          <w:szCs w:val="24"/>
        </w:rPr>
        <w:t>Tonnes équivalent CO2 selon le scénario d’atténuation ;</w:t>
      </w:r>
    </w:p>
    <w:p w14:paraId="5F46D90C" w14:textId="77777777" w:rsidR="00C03EC4" w:rsidRPr="002E75D4" w:rsidRDefault="00C03EC4" w:rsidP="00C03EC4">
      <w:pPr>
        <w:pStyle w:val="Paragraphedeliste"/>
        <w:numPr>
          <w:ilvl w:val="0"/>
          <w:numId w:val="26"/>
        </w:num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la mise à jour de la période de référence av</w:t>
      </w:r>
      <w:r w:rsidRPr="002E75D4">
        <w:rPr>
          <w:rFonts w:asciiTheme="majorHAnsi" w:hAnsiTheme="majorHAnsi" w:cstheme="majorHAnsi"/>
          <w:sz w:val="24"/>
        </w:rPr>
        <w:t xml:space="preserve">ec des niveaux de réduction des GES du scénario d’atténuation par rapport au scénario de base de </w:t>
      </w:r>
      <w:r w:rsidRPr="002E75D4">
        <w:rPr>
          <w:rFonts w:asciiTheme="majorHAnsi" w:hAnsiTheme="majorHAnsi" w:cstheme="majorHAnsi"/>
          <w:sz w:val="24"/>
          <w:szCs w:val="24"/>
        </w:rPr>
        <w:t>31% pour l’énergie, 25% pour l’agriculture, 39% pour les forêts et 31% pour les déchets ;</w:t>
      </w:r>
    </w:p>
    <w:p w14:paraId="3C01975F" w14:textId="77777777" w:rsidR="00C03EC4" w:rsidRPr="002E75D4" w:rsidRDefault="00C03EC4" w:rsidP="00C03EC4">
      <w:pPr>
        <w:pStyle w:val="Paragraphedeliste"/>
        <w:numPr>
          <w:ilvl w:val="0"/>
          <w:numId w:val="26"/>
        </w:num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la prise en compte des polluants à courte durée de vie dans les efforts de réduction des émissions.         </w:t>
      </w:r>
    </w:p>
    <w:p w14:paraId="2418F493"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La synthèse des émissions et des séquestrations à l’horizon 2030 donne une réduction de 40% de ces émissions totales.   </w:t>
      </w:r>
    </w:p>
    <w:p w14:paraId="6C6B75CE" w14:textId="77777777" w:rsidR="00C03EC4" w:rsidRPr="002E75D4" w:rsidRDefault="00C03EC4" w:rsidP="00C03EC4">
      <w:pPr>
        <w:pStyle w:val="Paragraphedeliste"/>
        <w:spacing w:after="120" w:line="240" w:lineRule="auto"/>
        <w:ind w:left="0"/>
        <w:contextualSpacing w:val="0"/>
        <w:jc w:val="both"/>
        <w:rPr>
          <w:rFonts w:asciiTheme="majorHAnsi" w:eastAsia="Calibri" w:hAnsiTheme="majorHAnsi" w:cstheme="majorHAnsi"/>
          <w:sz w:val="24"/>
          <w:szCs w:val="22"/>
          <w:lang w:eastAsia="en-US"/>
        </w:rPr>
      </w:pPr>
      <w:r w:rsidRPr="002E75D4">
        <w:rPr>
          <w:rFonts w:asciiTheme="majorHAnsi" w:hAnsiTheme="majorHAnsi" w:cstheme="majorHAnsi"/>
          <w:sz w:val="24"/>
          <w:szCs w:val="22"/>
        </w:rPr>
        <w:t xml:space="preserve">En matière d’adaptation, </w:t>
      </w:r>
      <w:r w:rsidRPr="002E75D4">
        <w:rPr>
          <w:rFonts w:asciiTheme="majorHAnsi" w:eastAsia="Calibri" w:hAnsiTheme="majorHAnsi" w:cstheme="majorHAnsi"/>
          <w:sz w:val="24"/>
          <w:szCs w:val="22"/>
          <w:lang w:eastAsia="en-US"/>
        </w:rPr>
        <w:t>la vision du Mali est de faire de l’économie verte et résiliente aux changements climatiques une priorité.</w:t>
      </w:r>
    </w:p>
    <w:p w14:paraId="719347D5" w14:textId="77777777" w:rsidR="00C03EC4" w:rsidRPr="002E75D4" w:rsidRDefault="00C03EC4" w:rsidP="00C03EC4">
      <w:pPr>
        <w:spacing w:after="120" w:line="240" w:lineRule="auto"/>
        <w:jc w:val="both"/>
        <w:rPr>
          <w:rFonts w:asciiTheme="majorHAnsi" w:hAnsiTheme="majorHAnsi" w:cstheme="majorHAnsi"/>
          <w:sz w:val="24"/>
        </w:rPr>
      </w:pPr>
      <w:r w:rsidRPr="002E75D4">
        <w:rPr>
          <w:rFonts w:asciiTheme="majorHAnsi" w:hAnsiTheme="majorHAnsi" w:cstheme="majorHAnsi"/>
          <w:sz w:val="24"/>
        </w:rPr>
        <w:t>Les prévisions de la CDN en matière d’adaptation comprennent :</w:t>
      </w:r>
    </w:p>
    <w:p w14:paraId="3A37BB14" w14:textId="77777777" w:rsidR="00C03EC4" w:rsidRPr="002E75D4" w:rsidRDefault="00C03EC4" w:rsidP="00C03EC4">
      <w:pPr>
        <w:pStyle w:val="Paragraphedeliste"/>
        <w:numPr>
          <w:ilvl w:val="0"/>
          <w:numId w:val="25"/>
        </w:numPr>
        <w:spacing w:after="120" w:line="240" w:lineRule="auto"/>
        <w:jc w:val="both"/>
        <w:rPr>
          <w:rFonts w:asciiTheme="majorHAnsi" w:hAnsiTheme="majorHAnsi" w:cstheme="majorHAnsi"/>
          <w:sz w:val="24"/>
        </w:rPr>
      </w:pPr>
      <w:r w:rsidRPr="002E75D4">
        <w:rPr>
          <w:rFonts w:asciiTheme="majorHAnsi" w:hAnsiTheme="majorHAnsi" w:cstheme="majorHAnsi"/>
          <w:sz w:val="24"/>
        </w:rPr>
        <w:t>la poursuite des cinq grands programmes qui portent notamment sur la foresterie, l’agriculture intelligente et les énergies renouvelables ;</w:t>
      </w:r>
    </w:p>
    <w:p w14:paraId="0710BC1F" w14:textId="77777777" w:rsidR="00C03EC4" w:rsidRPr="002E75D4" w:rsidRDefault="00C03EC4" w:rsidP="00C03EC4">
      <w:pPr>
        <w:pStyle w:val="Paragraphedeliste"/>
        <w:numPr>
          <w:ilvl w:val="0"/>
          <w:numId w:val="25"/>
        </w:numPr>
        <w:spacing w:after="120" w:line="240" w:lineRule="auto"/>
        <w:jc w:val="both"/>
        <w:rPr>
          <w:rFonts w:asciiTheme="majorHAnsi" w:hAnsiTheme="majorHAnsi" w:cstheme="majorHAnsi"/>
          <w:sz w:val="24"/>
        </w:rPr>
      </w:pPr>
      <w:r w:rsidRPr="002E75D4">
        <w:rPr>
          <w:rFonts w:asciiTheme="majorHAnsi" w:hAnsiTheme="majorHAnsi" w:cstheme="majorHAnsi"/>
          <w:sz w:val="24"/>
        </w:rPr>
        <w:t xml:space="preserve"> d</w:t>
      </w:r>
      <w:r w:rsidRPr="002E75D4">
        <w:rPr>
          <w:rFonts w:asciiTheme="majorHAnsi" w:hAnsiTheme="majorHAnsi" w:cstheme="majorHAnsi"/>
          <w:sz w:val="24"/>
          <w:szCs w:val="24"/>
        </w:rPr>
        <w:t xml:space="preserve">es projets relevant du </w:t>
      </w:r>
      <w:r>
        <w:rPr>
          <w:rFonts w:asciiTheme="majorHAnsi" w:hAnsiTheme="majorHAnsi" w:cstheme="majorHAnsi"/>
          <w:sz w:val="24"/>
          <w:szCs w:val="24"/>
        </w:rPr>
        <w:t>secteur de la foresterie</w:t>
      </w:r>
      <w:r w:rsidRPr="002E75D4">
        <w:rPr>
          <w:rFonts w:asciiTheme="majorHAnsi" w:hAnsiTheme="majorHAnsi" w:cstheme="majorHAnsi"/>
          <w:sz w:val="24"/>
          <w:szCs w:val="24"/>
        </w:rPr>
        <w:t> : gestion de l’ensablement des cours d’eau, reboisement, plantation de milliers d’hectares d’arbres fruitiers ;</w:t>
      </w:r>
    </w:p>
    <w:p w14:paraId="280D9A2D" w14:textId="77777777" w:rsidR="00C03EC4" w:rsidRPr="002E75D4" w:rsidRDefault="00C03EC4" w:rsidP="00C03EC4">
      <w:pPr>
        <w:pStyle w:val="Paragraphedeliste"/>
        <w:numPr>
          <w:ilvl w:val="0"/>
          <w:numId w:val="25"/>
        </w:numPr>
        <w:spacing w:after="120" w:line="240" w:lineRule="auto"/>
        <w:jc w:val="both"/>
        <w:rPr>
          <w:rFonts w:asciiTheme="majorHAnsi" w:hAnsiTheme="majorHAnsi" w:cstheme="majorHAnsi"/>
          <w:sz w:val="24"/>
        </w:rPr>
      </w:pPr>
      <w:r w:rsidRPr="002E75D4">
        <w:rPr>
          <w:rFonts w:asciiTheme="majorHAnsi" w:eastAsia="Calibri" w:hAnsiTheme="majorHAnsi" w:cstheme="majorHAnsi"/>
          <w:sz w:val="24"/>
          <w:szCs w:val="24"/>
          <w:lang w:eastAsia="en-US"/>
        </w:rPr>
        <w:t>des programmes relevant d</w:t>
      </w:r>
      <w:r>
        <w:rPr>
          <w:rFonts w:asciiTheme="majorHAnsi" w:eastAsia="Calibri" w:hAnsiTheme="majorHAnsi" w:cstheme="majorHAnsi"/>
          <w:sz w:val="24"/>
          <w:szCs w:val="24"/>
          <w:lang w:eastAsia="en-US"/>
        </w:rPr>
        <w:t>e la</w:t>
      </w:r>
      <w:r w:rsidRPr="002E75D4">
        <w:rPr>
          <w:rFonts w:asciiTheme="majorHAnsi" w:eastAsia="Calibri" w:hAnsiTheme="majorHAnsi" w:cstheme="majorHAnsi"/>
          <w:sz w:val="24"/>
          <w:szCs w:val="24"/>
          <w:lang w:eastAsia="en-US"/>
        </w:rPr>
        <w:t xml:space="preserve"> REDD+ présentant le co-avantage d’être également efficaces au titre de l’atténuation (développement de la filière gomme arabique et des produits forestiers non ligneux) ;</w:t>
      </w:r>
    </w:p>
    <w:p w14:paraId="2CE06A92" w14:textId="77777777" w:rsidR="00C03EC4" w:rsidRPr="002E75D4" w:rsidRDefault="00C03EC4" w:rsidP="00C03EC4">
      <w:pPr>
        <w:pStyle w:val="Paragraphedeliste"/>
        <w:numPr>
          <w:ilvl w:val="0"/>
          <w:numId w:val="25"/>
        </w:numPr>
        <w:spacing w:after="120" w:line="240" w:lineRule="auto"/>
        <w:jc w:val="both"/>
        <w:rPr>
          <w:rFonts w:asciiTheme="majorHAnsi" w:hAnsiTheme="majorHAnsi" w:cstheme="majorHAnsi"/>
          <w:sz w:val="24"/>
        </w:rPr>
      </w:pPr>
      <w:r w:rsidRPr="002E75D4">
        <w:rPr>
          <w:rFonts w:asciiTheme="majorHAnsi" w:hAnsiTheme="majorHAnsi" w:cstheme="majorHAnsi"/>
          <w:sz w:val="24"/>
        </w:rPr>
        <w:t>le développement de la recherche sur l’adaptation aux changements climatiques ;</w:t>
      </w:r>
    </w:p>
    <w:p w14:paraId="38651BB0" w14:textId="77777777" w:rsidR="00C03EC4" w:rsidRPr="002E75D4" w:rsidRDefault="00C03EC4" w:rsidP="00C03EC4">
      <w:pPr>
        <w:pStyle w:val="Paragraphedeliste"/>
        <w:numPr>
          <w:ilvl w:val="0"/>
          <w:numId w:val="25"/>
        </w:numPr>
        <w:spacing w:after="120" w:line="240" w:lineRule="auto"/>
        <w:jc w:val="both"/>
        <w:rPr>
          <w:rFonts w:asciiTheme="majorHAnsi" w:hAnsiTheme="majorHAnsi" w:cstheme="majorHAnsi"/>
          <w:sz w:val="24"/>
        </w:rPr>
      </w:pPr>
      <w:r w:rsidRPr="002E75D4">
        <w:rPr>
          <w:rFonts w:asciiTheme="majorHAnsi" w:hAnsiTheme="majorHAnsi" w:cstheme="majorHAnsi"/>
          <w:sz w:val="24"/>
        </w:rPr>
        <w:t>la mobilisation des collectivités locales, des communautés vulnérables et des groupes de femmes pour améliorer leur résilience aux changements climatiques ;</w:t>
      </w:r>
    </w:p>
    <w:p w14:paraId="19E3EEB4" w14:textId="77777777" w:rsidR="00C03EC4" w:rsidRPr="002E75D4" w:rsidRDefault="00C03EC4" w:rsidP="00C03EC4">
      <w:pPr>
        <w:pStyle w:val="Paragraphedeliste"/>
        <w:numPr>
          <w:ilvl w:val="0"/>
          <w:numId w:val="25"/>
        </w:numPr>
        <w:spacing w:after="120" w:line="240" w:lineRule="auto"/>
        <w:jc w:val="both"/>
        <w:rPr>
          <w:rFonts w:asciiTheme="majorHAnsi" w:hAnsiTheme="majorHAnsi" w:cstheme="majorHAnsi"/>
          <w:sz w:val="24"/>
        </w:rPr>
      </w:pPr>
      <w:r w:rsidRPr="002E75D4">
        <w:rPr>
          <w:rFonts w:asciiTheme="majorHAnsi" w:hAnsiTheme="majorHAnsi" w:cstheme="majorHAnsi"/>
          <w:sz w:val="24"/>
        </w:rPr>
        <w:t>une série de projets sectoriels dans les domaines de l’agriculture, des déchets, de la météorologie, de la société civile et du renforcement des capacités</w:t>
      </w:r>
    </w:p>
    <w:p w14:paraId="584938F8" w14:textId="77777777" w:rsidR="00C03EC4" w:rsidRPr="002E75D4" w:rsidRDefault="00C03EC4" w:rsidP="00C03EC4">
      <w:pPr>
        <w:spacing w:after="120" w:line="240" w:lineRule="auto"/>
        <w:ind w:right="96"/>
        <w:jc w:val="both"/>
        <w:rPr>
          <w:rFonts w:asciiTheme="majorHAnsi" w:hAnsiTheme="majorHAnsi" w:cstheme="majorHAnsi"/>
          <w:sz w:val="24"/>
          <w:szCs w:val="24"/>
        </w:rPr>
      </w:pPr>
      <w:r w:rsidRPr="002E75D4">
        <w:rPr>
          <w:rFonts w:asciiTheme="majorHAnsi" w:hAnsiTheme="majorHAnsi" w:cstheme="majorHAnsi"/>
          <w:sz w:val="24"/>
          <w:szCs w:val="24"/>
        </w:rPr>
        <w:t xml:space="preserve">Le financement est fondamental pour l’Accord de Paris. Il garantit la mise en œuvre des politiques et des actions en vue de l’atteinte des objectifs identifiés dans les contributions déterminées au niveau national. </w:t>
      </w:r>
    </w:p>
    <w:p w14:paraId="0C1B6A2C" w14:textId="77777777" w:rsidR="00C03EC4" w:rsidRPr="002E75D4" w:rsidRDefault="00C03EC4" w:rsidP="00C03EC4">
      <w:pPr>
        <w:widowControl w:val="0"/>
        <w:autoSpaceDE w:val="0"/>
        <w:autoSpaceDN w:val="0"/>
        <w:adjustRightInd w:val="0"/>
        <w:spacing w:after="120"/>
        <w:jc w:val="both"/>
        <w:rPr>
          <w:rFonts w:asciiTheme="majorHAnsi" w:hAnsiTheme="majorHAnsi" w:cstheme="majorHAnsi"/>
          <w:sz w:val="24"/>
          <w:szCs w:val="24"/>
        </w:rPr>
      </w:pPr>
      <w:r w:rsidRPr="002E75D4">
        <w:rPr>
          <w:rFonts w:asciiTheme="majorHAnsi" w:hAnsiTheme="majorHAnsi" w:cstheme="majorHAnsi"/>
          <w:sz w:val="24"/>
          <w:szCs w:val="24"/>
        </w:rPr>
        <w:t>Conformément aux obligations de la Convention Cadre des Nations Uni</w:t>
      </w:r>
      <w:r>
        <w:rPr>
          <w:rFonts w:asciiTheme="majorHAnsi" w:hAnsiTheme="majorHAnsi" w:cstheme="majorHAnsi"/>
          <w:sz w:val="24"/>
          <w:szCs w:val="24"/>
        </w:rPr>
        <w:t>e</w:t>
      </w:r>
      <w:r w:rsidRPr="002E75D4">
        <w:rPr>
          <w:rFonts w:asciiTheme="majorHAnsi" w:hAnsiTheme="majorHAnsi" w:cstheme="majorHAnsi"/>
          <w:sz w:val="24"/>
          <w:szCs w:val="24"/>
        </w:rPr>
        <w:t>s sur les Changements Climatiques (CCNUCC) et de l’Accord de Paris</w:t>
      </w:r>
      <w:r>
        <w:rPr>
          <w:rFonts w:asciiTheme="majorHAnsi" w:hAnsiTheme="majorHAnsi" w:cstheme="majorHAnsi"/>
          <w:sz w:val="24"/>
          <w:szCs w:val="24"/>
        </w:rPr>
        <w:t xml:space="preserve"> sur le climat,</w:t>
      </w:r>
      <w:r w:rsidRPr="002E75D4">
        <w:rPr>
          <w:rFonts w:asciiTheme="majorHAnsi" w:hAnsiTheme="majorHAnsi" w:cstheme="majorHAnsi"/>
          <w:sz w:val="24"/>
          <w:szCs w:val="24"/>
        </w:rPr>
        <w:t xml:space="preserve"> le pays reçoit des financements pour lutter contre les CC provenant de différentes sources</w:t>
      </w:r>
      <w:r>
        <w:rPr>
          <w:rFonts w:asciiTheme="majorHAnsi" w:hAnsiTheme="majorHAnsi" w:cstheme="majorHAnsi"/>
          <w:sz w:val="24"/>
          <w:szCs w:val="24"/>
        </w:rPr>
        <w:t>,</w:t>
      </w:r>
      <w:r w:rsidRPr="002E75D4">
        <w:rPr>
          <w:rFonts w:asciiTheme="majorHAnsi" w:hAnsiTheme="majorHAnsi" w:cstheme="majorHAnsi"/>
          <w:sz w:val="24"/>
          <w:szCs w:val="24"/>
        </w:rPr>
        <w:t xml:space="preserve"> entre autres</w:t>
      </w:r>
      <w:r>
        <w:rPr>
          <w:rFonts w:asciiTheme="majorHAnsi" w:hAnsiTheme="majorHAnsi" w:cstheme="majorHAnsi"/>
          <w:sz w:val="24"/>
          <w:szCs w:val="24"/>
        </w:rPr>
        <w:t xml:space="preserve">, </w:t>
      </w:r>
      <w:r w:rsidRPr="002E75D4">
        <w:rPr>
          <w:rFonts w:asciiTheme="majorHAnsi" w:hAnsiTheme="majorHAnsi" w:cstheme="majorHAnsi"/>
          <w:sz w:val="24"/>
          <w:szCs w:val="24"/>
        </w:rPr>
        <w:t xml:space="preserve">des fonds sous la convention, de l’appui de Partenaires Techniques et Financiers, des banques bilatérales et multilatérales de développement, du secteur privé etc… </w:t>
      </w:r>
    </w:p>
    <w:p w14:paraId="12C4D8ED" w14:textId="77777777" w:rsidR="00C03EC4" w:rsidRPr="002E75D4" w:rsidRDefault="00C03EC4" w:rsidP="00C03EC4">
      <w:pPr>
        <w:widowControl w:val="0"/>
        <w:autoSpaceDE w:val="0"/>
        <w:autoSpaceDN w:val="0"/>
        <w:adjustRightInd w:val="0"/>
        <w:spacing w:after="120"/>
        <w:jc w:val="both"/>
        <w:rPr>
          <w:rFonts w:asciiTheme="majorHAnsi" w:hAnsiTheme="majorHAnsi" w:cstheme="majorHAnsi"/>
          <w:sz w:val="24"/>
          <w:szCs w:val="24"/>
        </w:rPr>
      </w:pPr>
      <w:r w:rsidRPr="002E75D4">
        <w:rPr>
          <w:rFonts w:asciiTheme="majorHAnsi" w:hAnsiTheme="majorHAnsi" w:cstheme="majorHAnsi"/>
          <w:sz w:val="24"/>
          <w:szCs w:val="24"/>
        </w:rPr>
        <w:t xml:space="preserve">Dans le cadre de la mise en œuvre des actions de la nouvelle CDN, la stratégie suivante sera développée par le Mali en trois étapes :  </w:t>
      </w:r>
    </w:p>
    <w:p w14:paraId="24C2C5C1" w14:textId="77777777" w:rsidR="00C03EC4" w:rsidRPr="002E75D4" w:rsidRDefault="00C03EC4" w:rsidP="00C03EC4">
      <w:pPr>
        <w:widowControl w:val="0"/>
        <w:autoSpaceDE w:val="0"/>
        <w:autoSpaceDN w:val="0"/>
        <w:adjustRightInd w:val="0"/>
        <w:spacing w:after="120"/>
        <w:jc w:val="both"/>
        <w:rPr>
          <w:rFonts w:asciiTheme="majorHAnsi" w:hAnsiTheme="majorHAnsi" w:cstheme="majorHAnsi"/>
          <w:sz w:val="24"/>
          <w:szCs w:val="24"/>
        </w:rPr>
      </w:pPr>
      <w:r w:rsidRPr="00091BA4">
        <w:rPr>
          <w:rFonts w:asciiTheme="majorHAnsi" w:hAnsiTheme="majorHAnsi" w:cstheme="majorHAnsi"/>
          <w:b/>
          <w:bCs/>
          <w:sz w:val="24"/>
          <w:szCs w:val="24"/>
        </w:rPr>
        <w:t>Axe1 </w:t>
      </w:r>
      <w:r w:rsidRPr="002E75D4">
        <w:rPr>
          <w:rFonts w:asciiTheme="majorHAnsi" w:hAnsiTheme="majorHAnsi" w:cstheme="majorHAnsi"/>
          <w:sz w:val="24"/>
          <w:szCs w:val="24"/>
        </w:rPr>
        <w:t xml:space="preserve">: Développement de portefeuille de projets : La mobilisation des ressources financières est fortement liée à la disponibilité de projets ou programmes et à leurs qualités. Les projets seront priorisés dans </w:t>
      </w:r>
      <w:r>
        <w:rPr>
          <w:rFonts w:asciiTheme="majorHAnsi" w:hAnsiTheme="majorHAnsi" w:cstheme="majorHAnsi"/>
          <w:sz w:val="24"/>
          <w:szCs w:val="24"/>
        </w:rPr>
        <w:t xml:space="preserve">un </w:t>
      </w:r>
      <w:r w:rsidRPr="002E75D4">
        <w:rPr>
          <w:rFonts w:asciiTheme="majorHAnsi" w:hAnsiTheme="majorHAnsi" w:cstheme="majorHAnsi"/>
          <w:sz w:val="24"/>
          <w:szCs w:val="24"/>
        </w:rPr>
        <w:t xml:space="preserve">plan d’investissement ou portefeuille de projets. </w:t>
      </w:r>
    </w:p>
    <w:p w14:paraId="5F2945CB" w14:textId="77777777" w:rsidR="00C03EC4" w:rsidRPr="002E75D4" w:rsidRDefault="00C03EC4" w:rsidP="00C03EC4">
      <w:pPr>
        <w:widowControl w:val="0"/>
        <w:autoSpaceDE w:val="0"/>
        <w:autoSpaceDN w:val="0"/>
        <w:adjustRightInd w:val="0"/>
        <w:spacing w:after="120"/>
        <w:jc w:val="both"/>
        <w:rPr>
          <w:rFonts w:asciiTheme="majorHAnsi" w:hAnsiTheme="majorHAnsi" w:cstheme="majorHAnsi"/>
          <w:sz w:val="24"/>
          <w:szCs w:val="24"/>
        </w:rPr>
      </w:pPr>
      <w:r w:rsidRPr="00091BA4">
        <w:rPr>
          <w:rFonts w:asciiTheme="majorHAnsi" w:hAnsiTheme="majorHAnsi" w:cstheme="majorHAnsi"/>
          <w:b/>
          <w:bCs/>
          <w:sz w:val="24"/>
          <w:szCs w:val="24"/>
        </w:rPr>
        <w:t>Axe 2</w:t>
      </w:r>
      <w:r w:rsidRPr="002E75D4">
        <w:rPr>
          <w:rFonts w:asciiTheme="majorHAnsi" w:hAnsiTheme="majorHAnsi" w:cstheme="majorHAnsi"/>
          <w:sz w:val="24"/>
          <w:szCs w:val="24"/>
        </w:rPr>
        <w:t> : Améliorer l’accès aux sources de financement en multipliant les entités d’accès directs et surtout en créant un cadre de concertation opérationnel avec les entités internationales opérant au Mali.</w:t>
      </w:r>
    </w:p>
    <w:p w14:paraId="4D675DED" w14:textId="77777777" w:rsidR="00C03EC4" w:rsidRPr="002E75D4" w:rsidRDefault="00C03EC4" w:rsidP="00C03EC4">
      <w:pPr>
        <w:widowControl w:val="0"/>
        <w:autoSpaceDE w:val="0"/>
        <w:autoSpaceDN w:val="0"/>
        <w:adjustRightInd w:val="0"/>
        <w:spacing w:after="120"/>
        <w:jc w:val="both"/>
        <w:rPr>
          <w:rFonts w:asciiTheme="majorHAnsi" w:hAnsiTheme="majorHAnsi" w:cstheme="majorHAnsi"/>
          <w:sz w:val="24"/>
          <w:szCs w:val="24"/>
        </w:rPr>
      </w:pPr>
      <w:r w:rsidRPr="00091BA4">
        <w:rPr>
          <w:rFonts w:asciiTheme="majorHAnsi" w:hAnsiTheme="majorHAnsi" w:cstheme="majorHAnsi"/>
          <w:b/>
          <w:bCs/>
          <w:sz w:val="24"/>
          <w:szCs w:val="24"/>
        </w:rPr>
        <w:t>Axe 3</w:t>
      </w:r>
      <w:r w:rsidRPr="002E75D4">
        <w:rPr>
          <w:rFonts w:asciiTheme="majorHAnsi" w:hAnsiTheme="majorHAnsi" w:cstheme="majorHAnsi"/>
          <w:sz w:val="24"/>
          <w:szCs w:val="24"/>
        </w:rPr>
        <w:t> : Améliorer la mobilisation interne par des co-financements de l’Etat à travers le budget spécial d’investissement pour faciliter la mobilisation des ressources au niveau international.</w:t>
      </w:r>
    </w:p>
    <w:p w14:paraId="118B3D7E" w14:textId="77777777" w:rsidR="00C03EC4" w:rsidRPr="002E75D4" w:rsidRDefault="00C03EC4" w:rsidP="00C03EC4">
      <w:pPr>
        <w:widowControl w:val="0"/>
        <w:autoSpaceDE w:val="0"/>
        <w:autoSpaceDN w:val="0"/>
        <w:adjustRightInd w:val="0"/>
        <w:spacing w:after="120"/>
        <w:jc w:val="both"/>
        <w:rPr>
          <w:rFonts w:asciiTheme="majorHAnsi" w:eastAsia="Calibri" w:hAnsiTheme="majorHAnsi" w:cstheme="majorHAnsi"/>
          <w:sz w:val="24"/>
        </w:rPr>
      </w:pPr>
      <w:r w:rsidRPr="002E75D4">
        <w:rPr>
          <w:rFonts w:asciiTheme="majorHAnsi" w:eastAsia="Calibri" w:hAnsiTheme="majorHAnsi" w:cstheme="majorHAnsi"/>
          <w:sz w:val="24"/>
        </w:rPr>
        <w:t>La mobilisation des ressources pour la mise en œuvre des programmes identifiés dans la CDN, constitue une conditionnalité pour que le Mali puisse d’une part atteindre ses objectifs en matière de réduction des GES et, d’autre part, adapter ses systèmes de production, ses systèmes écologiques et ses systèmes sociaux aux changements climatiques</w:t>
      </w:r>
      <w:r>
        <w:rPr>
          <w:rFonts w:asciiTheme="majorHAnsi" w:eastAsia="Calibri" w:hAnsiTheme="majorHAnsi" w:cstheme="majorHAnsi"/>
          <w:sz w:val="24"/>
        </w:rPr>
        <w:t xml:space="preserve">. </w:t>
      </w:r>
      <w:r w:rsidRPr="002E75D4">
        <w:rPr>
          <w:rFonts w:asciiTheme="majorHAnsi" w:eastAsia="Calibri" w:hAnsiTheme="majorHAnsi" w:cstheme="majorHAnsi"/>
          <w:sz w:val="24"/>
        </w:rPr>
        <w:t>C’est dans ce contexte que le Mali amorcera une trajectoire de développement économique sobre en carbone et résilient aux changements climatiques, contribuant de plus aux efforts mondiaux de stabilisation des gaz à effet de serre, au titre de la responsabilité commune mais différenciée.</w:t>
      </w:r>
    </w:p>
    <w:p w14:paraId="25C2CFEF" w14:textId="77777777" w:rsidR="00C03EC4" w:rsidRPr="002E75D4" w:rsidRDefault="00C03EC4" w:rsidP="00C03EC4">
      <w:pPr>
        <w:spacing w:after="120"/>
        <w:ind w:right="1558"/>
        <w:jc w:val="center"/>
        <w:rPr>
          <w:rFonts w:asciiTheme="majorHAnsi" w:hAnsiTheme="majorHAnsi" w:cstheme="majorHAnsi"/>
          <w:sz w:val="24"/>
          <w:szCs w:val="24"/>
        </w:rPr>
      </w:pPr>
    </w:p>
    <w:p w14:paraId="3DAFD067" w14:textId="77777777" w:rsidR="00C03EC4" w:rsidRPr="002E75D4" w:rsidRDefault="00C03EC4" w:rsidP="00C03EC4">
      <w:pPr>
        <w:spacing w:after="120"/>
        <w:ind w:right="1558"/>
        <w:rPr>
          <w:rFonts w:asciiTheme="majorHAnsi" w:hAnsiTheme="majorHAnsi" w:cstheme="majorHAnsi"/>
          <w:sz w:val="48"/>
          <w:szCs w:val="48"/>
        </w:rPr>
      </w:pPr>
    </w:p>
    <w:p w14:paraId="1CDACB53" w14:textId="77777777" w:rsidR="00C03EC4" w:rsidRDefault="00C03EC4" w:rsidP="00C03EC4">
      <w:pPr>
        <w:spacing w:after="120"/>
        <w:ind w:right="1558"/>
        <w:rPr>
          <w:rFonts w:asciiTheme="majorHAnsi" w:hAnsiTheme="majorHAnsi" w:cstheme="majorHAnsi"/>
          <w:b/>
          <w:bCs/>
          <w:sz w:val="48"/>
          <w:szCs w:val="48"/>
        </w:rPr>
      </w:pPr>
    </w:p>
    <w:p w14:paraId="10B6E2B5" w14:textId="77777777" w:rsidR="00C03EC4" w:rsidRPr="00F24A9E" w:rsidRDefault="00C03EC4" w:rsidP="00C03EC4">
      <w:pPr>
        <w:spacing w:after="120"/>
        <w:ind w:right="1558"/>
        <w:rPr>
          <w:rFonts w:asciiTheme="majorHAnsi" w:hAnsiTheme="majorHAnsi" w:cstheme="majorHAnsi"/>
          <w:b/>
          <w:bCs/>
          <w:sz w:val="36"/>
          <w:szCs w:val="36"/>
        </w:rPr>
      </w:pPr>
      <w:r w:rsidRPr="00F24A9E">
        <w:rPr>
          <w:rFonts w:asciiTheme="majorHAnsi" w:hAnsiTheme="majorHAnsi" w:cstheme="majorHAnsi"/>
          <w:b/>
          <w:bCs/>
          <w:sz w:val="36"/>
          <w:szCs w:val="36"/>
        </w:rPr>
        <w:t>SOMMAIRE</w:t>
      </w:r>
    </w:p>
    <w:tbl>
      <w:tblPr>
        <w:tblStyle w:val="TableNormal1"/>
        <w:tblW w:w="10375" w:type="dxa"/>
        <w:tblLook w:val="0600" w:firstRow="0" w:lastRow="0" w:firstColumn="0" w:lastColumn="0" w:noHBand="1" w:noVBand="1"/>
      </w:tblPr>
      <w:tblGrid>
        <w:gridCol w:w="709"/>
        <w:gridCol w:w="8647"/>
        <w:gridCol w:w="1019"/>
      </w:tblGrid>
      <w:tr w:rsidR="00C03EC4" w:rsidRPr="002E75D4" w14:paraId="64CCC0F2" w14:textId="77777777" w:rsidTr="000D6136">
        <w:tc>
          <w:tcPr>
            <w:tcW w:w="9356" w:type="dxa"/>
            <w:gridSpan w:val="2"/>
          </w:tcPr>
          <w:p w14:paraId="5323EC08" w14:textId="77777777" w:rsidR="00C03EC4" w:rsidRPr="002E75D4" w:rsidRDefault="00C03EC4" w:rsidP="000D6136">
            <w:pPr>
              <w:spacing w:before="120" w:after="40"/>
              <w:jc w:val="both"/>
              <w:rPr>
                <w:rFonts w:cstheme="minorHAnsi"/>
                <w:b/>
              </w:rPr>
            </w:pPr>
            <w:r w:rsidRPr="002E75D4">
              <w:rPr>
                <w:rFonts w:cstheme="minorHAnsi"/>
                <w:b/>
              </w:rPr>
              <w:t xml:space="preserve">RESUME EXECUTIF  </w:t>
            </w:r>
          </w:p>
        </w:tc>
        <w:tc>
          <w:tcPr>
            <w:tcW w:w="1019" w:type="dxa"/>
          </w:tcPr>
          <w:p w14:paraId="2422C42D" w14:textId="77777777" w:rsidR="00C03EC4" w:rsidRPr="002E75D4" w:rsidRDefault="00C03EC4" w:rsidP="000D6136">
            <w:pPr>
              <w:spacing w:before="120" w:after="40"/>
              <w:jc w:val="both"/>
              <w:rPr>
                <w:rFonts w:cstheme="minorHAnsi"/>
                <w:b/>
              </w:rPr>
            </w:pPr>
            <w:r w:rsidRPr="002E75D4">
              <w:rPr>
                <w:rFonts w:cstheme="minorHAnsi"/>
                <w:b/>
              </w:rPr>
              <w:t>2</w:t>
            </w:r>
          </w:p>
        </w:tc>
      </w:tr>
      <w:tr w:rsidR="00C03EC4" w:rsidRPr="002E75D4" w14:paraId="6A8BBA1F" w14:textId="77777777" w:rsidTr="000D6136">
        <w:tc>
          <w:tcPr>
            <w:tcW w:w="9356" w:type="dxa"/>
            <w:gridSpan w:val="2"/>
          </w:tcPr>
          <w:p w14:paraId="1E12F283" w14:textId="77777777" w:rsidR="00C03EC4" w:rsidRPr="002E75D4" w:rsidRDefault="00C03EC4" w:rsidP="000D6136">
            <w:pPr>
              <w:spacing w:before="120" w:after="40"/>
              <w:jc w:val="both"/>
              <w:rPr>
                <w:rFonts w:cstheme="minorHAnsi"/>
                <w:b/>
              </w:rPr>
            </w:pPr>
            <w:r w:rsidRPr="002E75D4">
              <w:rPr>
                <w:rFonts w:cstheme="minorHAnsi"/>
                <w:b/>
              </w:rPr>
              <w:t>SIGLES ET ACRONYMES</w:t>
            </w:r>
          </w:p>
        </w:tc>
        <w:tc>
          <w:tcPr>
            <w:tcW w:w="1019" w:type="dxa"/>
          </w:tcPr>
          <w:p w14:paraId="57EE42F6" w14:textId="77777777" w:rsidR="00C03EC4" w:rsidRPr="002E75D4" w:rsidRDefault="00C03EC4" w:rsidP="000D6136">
            <w:pPr>
              <w:spacing w:before="120" w:after="40"/>
              <w:jc w:val="both"/>
              <w:rPr>
                <w:rFonts w:cstheme="minorHAnsi"/>
                <w:b/>
              </w:rPr>
            </w:pPr>
            <w:r w:rsidRPr="002E75D4">
              <w:rPr>
                <w:rFonts w:cstheme="minorHAnsi"/>
                <w:b/>
              </w:rPr>
              <w:t>6</w:t>
            </w:r>
          </w:p>
        </w:tc>
      </w:tr>
      <w:tr w:rsidR="00C03EC4" w:rsidRPr="002E75D4" w14:paraId="208161C4" w14:textId="77777777" w:rsidTr="000D6136">
        <w:tc>
          <w:tcPr>
            <w:tcW w:w="9356" w:type="dxa"/>
            <w:gridSpan w:val="2"/>
          </w:tcPr>
          <w:p w14:paraId="0D70208A" w14:textId="77777777" w:rsidR="00C03EC4" w:rsidRPr="002E75D4" w:rsidRDefault="00C03EC4" w:rsidP="000D6136">
            <w:pPr>
              <w:spacing w:before="120" w:after="40"/>
              <w:jc w:val="both"/>
              <w:rPr>
                <w:rFonts w:cstheme="minorHAnsi"/>
                <w:b/>
              </w:rPr>
            </w:pPr>
            <w:r w:rsidRPr="002E75D4">
              <w:rPr>
                <w:rFonts w:cstheme="minorHAnsi"/>
                <w:b/>
              </w:rPr>
              <w:t xml:space="preserve">Liste des Figures  </w:t>
            </w:r>
          </w:p>
        </w:tc>
        <w:tc>
          <w:tcPr>
            <w:tcW w:w="1019" w:type="dxa"/>
          </w:tcPr>
          <w:p w14:paraId="219D097A" w14:textId="77777777" w:rsidR="00C03EC4" w:rsidRPr="002E75D4" w:rsidRDefault="00C03EC4" w:rsidP="000D6136">
            <w:pPr>
              <w:spacing w:before="120" w:after="40"/>
              <w:jc w:val="both"/>
              <w:rPr>
                <w:rFonts w:cstheme="minorHAnsi"/>
                <w:b/>
              </w:rPr>
            </w:pPr>
            <w:r w:rsidRPr="002E75D4">
              <w:rPr>
                <w:rFonts w:cstheme="minorHAnsi"/>
                <w:b/>
              </w:rPr>
              <w:t>8</w:t>
            </w:r>
          </w:p>
        </w:tc>
      </w:tr>
      <w:tr w:rsidR="00C03EC4" w:rsidRPr="002E75D4" w14:paraId="16A0B8CE" w14:textId="77777777" w:rsidTr="000D6136">
        <w:tc>
          <w:tcPr>
            <w:tcW w:w="9356" w:type="dxa"/>
            <w:gridSpan w:val="2"/>
          </w:tcPr>
          <w:p w14:paraId="1E906AE1" w14:textId="77777777" w:rsidR="00C03EC4" w:rsidRPr="002E75D4" w:rsidRDefault="00C03EC4" w:rsidP="000D6136">
            <w:pPr>
              <w:spacing w:before="120" w:after="40"/>
              <w:jc w:val="both"/>
              <w:rPr>
                <w:rFonts w:cstheme="minorHAnsi"/>
                <w:b/>
              </w:rPr>
            </w:pPr>
            <w:r w:rsidRPr="002E75D4">
              <w:rPr>
                <w:rFonts w:cstheme="minorHAnsi"/>
                <w:b/>
              </w:rPr>
              <w:t xml:space="preserve">AVANT PROPOS </w:t>
            </w:r>
          </w:p>
        </w:tc>
        <w:tc>
          <w:tcPr>
            <w:tcW w:w="1019" w:type="dxa"/>
          </w:tcPr>
          <w:p w14:paraId="256108F0" w14:textId="77777777" w:rsidR="00C03EC4" w:rsidRPr="002E75D4" w:rsidRDefault="00C03EC4" w:rsidP="000D6136">
            <w:pPr>
              <w:spacing w:before="120" w:after="40"/>
              <w:jc w:val="both"/>
              <w:rPr>
                <w:rFonts w:cstheme="minorHAnsi"/>
                <w:b/>
              </w:rPr>
            </w:pPr>
            <w:r w:rsidRPr="002E75D4">
              <w:rPr>
                <w:rFonts w:cstheme="minorHAnsi"/>
                <w:b/>
              </w:rPr>
              <w:t>9</w:t>
            </w:r>
          </w:p>
        </w:tc>
      </w:tr>
      <w:tr w:rsidR="00C03EC4" w:rsidRPr="002E75D4" w14:paraId="22BE6021" w14:textId="77777777" w:rsidTr="000D6136">
        <w:tc>
          <w:tcPr>
            <w:tcW w:w="9356" w:type="dxa"/>
            <w:gridSpan w:val="2"/>
          </w:tcPr>
          <w:p w14:paraId="2EDE739B" w14:textId="77777777" w:rsidR="00C03EC4" w:rsidRPr="002E75D4" w:rsidRDefault="00C03EC4" w:rsidP="000D6136">
            <w:pPr>
              <w:spacing w:before="120" w:after="40"/>
              <w:jc w:val="both"/>
              <w:rPr>
                <w:rFonts w:cstheme="minorHAnsi"/>
                <w:b/>
                <w:szCs w:val="24"/>
              </w:rPr>
            </w:pPr>
            <w:r w:rsidRPr="002E75D4">
              <w:rPr>
                <w:rFonts w:cstheme="minorHAnsi"/>
                <w:b/>
              </w:rPr>
              <w:t>INTRODUCTION</w:t>
            </w:r>
          </w:p>
        </w:tc>
        <w:tc>
          <w:tcPr>
            <w:tcW w:w="1019" w:type="dxa"/>
          </w:tcPr>
          <w:p w14:paraId="2705C0B3" w14:textId="77777777" w:rsidR="00C03EC4" w:rsidRPr="002E75D4" w:rsidRDefault="00C03EC4" w:rsidP="000D6136">
            <w:pPr>
              <w:spacing w:before="120" w:after="40"/>
              <w:jc w:val="both"/>
              <w:rPr>
                <w:rFonts w:cstheme="minorHAnsi"/>
                <w:b/>
              </w:rPr>
            </w:pPr>
            <w:r w:rsidRPr="002E75D4">
              <w:rPr>
                <w:rFonts w:cstheme="minorHAnsi"/>
                <w:b/>
              </w:rPr>
              <w:t>11</w:t>
            </w:r>
          </w:p>
        </w:tc>
      </w:tr>
      <w:tr w:rsidR="00C03EC4" w:rsidRPr="002E75D4" w14:paraId="3B3F898B" w14:textId="77777777" w:rsidTr="000D6136">
        <w:tc>
          <w:tcPr>
            <w:tcW w:w="9356" w:type="dxa"/>
            <w:gridSpan w:val="2"/>
          </w:tcPr>
          <w:p w14:paraId="7C7AA84D" w14:textId="77777777" w:rsidR="00C03EC4" w:rsidRPr="002E75D4" w:rsidRDefault="00C03EC4" w:rsidP="000D6136">
            <w:pPr>
              <w:spacing w:before="120" w:after="40"/>
              <w:jc w:val="both"/>
              <w:rPr>
                <w:rFonts w:cstheme="minorHAnsi"/>
                <w:b/>
                <w:szCs w:val="24"/>
              </w:rPr>
            </w:pPr>
            <w:r w:rsidRPr="002E75D4">
              <w:rPr>
                <w:rFonts w:cstheme="minorHAnsi"/>
                <w:b/>
                <w:szCs w:val="24"/>
              </w:rPr>
              <w:t>Type de contribution</w:t>
            </w:r>
          </w:p>
        </w:tc>
        <w:tc>
          <w:tcPr>
            <w:tcW w:w="1019" w:type="dxa"/>
          </w:tcPr>
          <w:p w14:paraId="08979BC5" w14:textId="77777777" w:rsidR="00C03EC4" w:rsidRPr="002E75D4" w:rsidRDefault="00C03EC4" w:rsidP="000D6136">
            <w:pPr>
              <w:spacing w:before="120" w:after="40"/>
              <w:jc w:val="both"/>
              <w:rPr>
                <w:rFonts w:cstheme="minorHAnsi"/>
                <w:b/>
              </w:rPr>
            </w:pPr>
            <w:r w:rsidRPr="002E75D4">
              <w:rPr>
                <w:rFonts w:cstheme="minorHAnsi"/>
                <w:b/>
              </w:rPr>
              <w:t>11</w:t>
            </w:r>
          </w:p>
        </w:tc>
      </w:tr>
      <w:tr w:rsidR="00C03EC4" w:rsidRPr="002E75D4" w14:paraId="07BABFE0" w14:textId="77777777" w:rsidTr="000D6136">
        <w:tc>
          <w:tcPr>
            <w:tcW w:w="9356" w:type="dxa"/>
            <w:gridSpan w:val="2"/>
          </w:tcPr>
          <w:p w14:paraId="0F8C5D16" w14:textId="77777777" w:rsidR="00C03EC4" w:rsidRPr="002E75D4" w:rsidRDefault="00C03EC4" w:rsidP="000D6136">
            <w:pPr>
              <w:spacing w:before="120" w:after="40"/>
              <w:jc w:val="both"/>
              <w:rPr>
                <w:rFonts w:cstheme="minorHAnsi"/>
                <w:b/>
                <w:szCs w:val="24"/>
              </w:rPr>
            </w:pPr>
            <w:r w:rsidRPr="002E75D4">
              <w:rPr>
                <w:rFonts w:cstheme="minorHAnsi"/>
                <w:b/>
                <w:szCs w:val="28"/>
              </w:rPr>
              <w:t>Ambition du Mali </w:t>
            </w:r>
          </w:p>
        </w:tc>
        <w:tc>
          <w:tcPr>
            <w:tcW w:w="1019" w:type="dxa"/>
          </w:tcPr>
          <w:p w14:paraId="16DBC254" w14:textId="77777777" w:rsidR="00C03EC4" w:rsidRPr="002E75D4" w:rsidRDefault="00C03EC4" w:rsidP="000D6136">
            <w:pPr>
              <w:spacing w:before="120" w:after="40"/>
              <w:jc w:val="both"/>
              <w:rPr>
                <w:rFonts w:cstheme="minorHAnsi"/>
                <w:b/>
              </w:rPr>
            </w:pPr>
            <w:r w:rsidRPr="002E75D4">
              <w:rPr>
                <w:rFonts w:cstheme="minorHAnsi"/>
                <w:b/>
              </w:rPr>
              <w:t>11</w:t>
            </w:r>
          </w:p>
        </w:tc>
      </w:tr>
      <w:tr w:rsidR="00C03EC4" w:rsidRPr="002E75D4" w14:paraId="22E64469" w14:textId="77777777" w:rsidTr="000D6136">
        <w:tc>
          <w:tcPr>
            <w:tcW w:w="9356" w:type="dxa"/>
            <w:gridSpan w:val="2"/>
          </w:tcPr>
          <w:p w14:paraId="225FA00F" w14:textId="77777777" w:rsidR="00C03EC4" w:rsidRPr="002E75D4" w:rsidRDefault="00C03EC4" w:rsidP="000D6136">
            <w:pPr>
              <w:spacing w:before="120" w:after="40"/>
              <w:jc w:val="both"/>
              <w:rPr>
                <w:rFonts w:cstheme="minorHAnsi"/>
                <w:b/>
                <w:szCs w:val="28"/>
                <w:lang w:val="fr-FR"/>
              </w:rPr>
            </w:pPr>
            <w:r w:rsidRPr="002E75D4">
              <w:rPr>
                <w:rFonts w:cstheme="minorHAnsi"/>
                <w:b/>
                <w:szCs w:val="28"/>
                <w:lang w:val="fr-FR"/>
              </w:rPr>
              <w:t>CHAPITRE 1 : SITUATION DU MALI FACE AUX CHANGEMENTS CLIMATIQUES</w:t>
            </w:r>
          </w:p>
        </w:tc>
        <w:tc>
          <w:tcPr>
            <w:tcW w:w="1019" w:type="dxa"/>
          </w:tcPr>
          <w:p w14:paraId="498C3551" w14:textId="77777777" w:rsidR="00C03EC4" w:rsidRPr="002E75D4" w:rsidRDefault="00C03EC4" w:rsidP="000D6136">
            <w:pPr>
              <w:spacing w:before="120" w:after="40"/>
              <w:jc w:val="both"/>
              <w:rPr>
                <w:rFonts w:cstheme="minorHAnsi"/>
                <w:b/>
              </w:rPr>
            </w:pPr>
            <w:r w:rsidRPr="002E75D4">
              <w:rPr>
                <w:rFonts w:cstheme="minorHAnsi"/>
                <w:b/>
              </w:rPr>
              <w:t>12</w:t>
            </w:r>
          </w:p>
        </w:tc>
      </w:tr>
      <w:tr w:rsidR="00C03EC4" w:rsidRPr="002E75D4" w14:paraId="75CF43A1" w14:textId="77777777" w:rsidTr="000D6136">
        <w:trPr>
          <w:gridBefore w:val="1"/>
          <w:wBefore w:w="709" w:type="dxa"/>
        </w:trPr>
        <w:tc>
          <w:tcPr>
            <w:tcW w:w="8647" w:type="dxa"/>
          </w:tcPr>
          <w:p w14:paraId="76DB3DC4" w14:textId="77777777" w:rsidR="00C03EC4" w:rsidRPr="002E75D4" w:rsidRDefault="00C03EC4" w:rsidP="000D6136">
            <w:pPr>
              <w:pStyle w:val="Paragraphedeliste"/>
              <w:numPr>
                <w:ilvl w:val="1"/>
                <w:numId w:val="15"/>
              </w:numPr>
              <w:spacing w:before="120" w:after="40" w:line="240" w:lineRule="auto"/>
              <w:jc w:val="both"/>
              <w:rPr>
                <w:rFonts w:asciiTheme="majorHAnsi" w:hAnsiTheme="majorHAnsi" w:cstheme="majorHAnsi"/>
                <w:sz w:val="22"/>
                <w:szCs w:val="24"/>
              </w:rPr>
            </w:pPr>
            <w:r w:rsidRPr="002E75D4">
              <w:rPr>
                <w:rFonts w:asciiTheme="majorHAnsi" w:hAnsiTheme="majorHAnsi" w:cstheme="majorHAnsi"/>
                <w:sz w:val="22"/>
                <w:szCs w:val="24"/>
              </w:rPr>
              <w:t xml:space="preserve">     Indicateurs économiques du Mali</w:t>
            </w:r>
          </w:p>
        </w:tc>
        <w:tc>
          <w:tcPr>
            <w:tcW w:w="1019" w:type="dxa"/>
          </w:tcPr>
          <w:p w14:paraId="53DD8F4C"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13</w:t>
            </w:r>
          </w:p>
        </w:tc>
      </w:tr>
      <w:tr w:rsidR="00C03EC4" w:rsidRPr="002E75D4" w14:paraId="2031F980" w14:textId="77777777" w:rsidTr="000D6136">
        <w:trPr>
          <w:gridBefore w:val="1"/>
          <w:wBefore w:w="709" w:type="dxa"/>
          <w:trHeight w:val="220"/>
        </w:trPr>
        <w:tc>
          <w:tcPr>
            <w:tcW w:w="8647" w:type="dxa"/>
          </w:tcPr>
          <w:p w14:paraId="2B625C58" w14:textId="77777777" w:rsidR="00C03EC4" w:rsidRPr="002E75D4" w:rsidRDefault="00C03EC4" w:rsidP="000D6136">
            <w:pPr>
              <w:pStyle w:val="Paragraphedeliste"/>
              <w:numPr>
                <w:ilvl w:val="1"/>
                <w:numId w:val="15"/>
              </w:numPr>
              <w:spacing w:before="120" w:after="40"/>
              <w:jc w:val="both"/>
              <w:rPr>
                <w:rFonts w:asciiTheme="majorHAnsi" w:hAnsiTheme="majorHAnsi" w:cstheme="majorHAnsi"/>
                <w:sz w:val="22"/>
                <w:szCs w:val="24"/>
                <w:lang w:val="fr-FR"/>
              </w:rPr>
            </w:pPr>
            <w:r w:rsidRPr="002E75D4">
              <w:rPr>
                <w:rFonts w:asciiTheme="majorHAnsi" w:hAnsiTheme="majorHAnsi" w:cstheme="majorHAnsi"/>
                <w:sz w:val="22"/>
                <w:lang w:val="fr-FR"/>
              </w:rPr>
              <w:t xml:space="preserve">     Engagements du Mali au regard des changements climatiques</w:t>
            </w:r>
          </w:p>
        </w:tc>
        <w:tc>
          <w:tcPr>
            <w:tcW w:w="1019" w:type="dxa"/>
          </w:tcPr>
          <w:p w14:paraId="777D6253"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13</w:t>
            </w:r>
          </w:p>
        </w:tc>
      </w:tr>
      <w:tr w:rsidR="00C03EC4" w:rsidRPr="002E75D4" w14:paraId="52B9DD89" w14:textId="77777777" w:rsidTr="000D6136">
        <w:trPr>
          <w:gridBefore w:val="1"/>
          <w:wBefore w:w="709" w:type="dxa"/>
        </w:trPr>
        <w:tc>
          <w:tcPr>
            <w:tcW w:w="8647" w:type="dxa"/>
          </w:tcPr>
          <w:p w14:paraId="383D53FB" w14:textId="77777777" w:rsidR="00C03EC4" w:rsidRPr="002E75D4" w:rsidRDefault="00C03EC4" w:rsidP="000D6136">
            <w:pPr>
              <w:pStyle w:val="Paragraphedeliste"/>
              <w:numPr>
                <w:ilvl w:val="1"/>
                <w:numId w:val="15"/>
              </w:numPr>
              <w:spacing w:before="120" w:after="40"/>
              <w:jc w:val="both"/>
              <w:rPr>
                <w:rFonts w:asciiTheme="majorHAnsi" w:hAnsiTheme="majorHAnsi" w:cstheme="majorHAnsi"/>
                <w:sz w:val="22"/>
                <w:lang w:val="fr-BE"/>
              </w:rPr>
            </w:pPr>
            <w:r w:rsidRPr="002E75D4">
              <w:rPr>
                <w:rFonts w:asciiTheme="majorHAnsi" w:hAnsiTheme="majorHAnsi" w:cstheme="majorHAnsi"/>
                <w:sz w:val="22"/>
                <w:lang w:val="fr-BE"/>
              </w:rPr>
              <w:t xml:space="preserve">     Aperçu du profil des émissions de GES du Mali</w:t>
            </w:r>
          </w:p>
        </w:tc>
        <w:tc>
          <w:tcPr>
            <w:tcW w:w="1019" w:type="dxa"/>
          </w:tcPr>
          <w:p w14:paraId="23CB8BAB" w14:textId="77777777" w:rsidR="00C03EC4" w:rsidRPr="002E75D4" w:rsidRDefault="00C03EC4" w:rsidP="000D6136">
            <w:pPr>
              <w:spacing w:before="120" w:after="40"/>
              <w:jc w:val="both"/>
              <w:rPr>
                <w:rFonts w:asciiTheme="majorHAnsi" w:hAnsiTheme="majorHAnsi" w:cstheme="majorHAnsi"/>
                <w:lang w:val="fr-BE"/>
              </w:rPr>
            </w:pPr>
            <w:r w:rsidRPr="002E75D4">
              <w:rPr>
                <w:rFonts w:asciiTheme="majorHAnsi" w:hAnsiTheme="majorHAnsi" w:cstheme="majorHAnsi"/>
                <w:lang w:val="fr-BE"/>
              </w:rPr>
              <w:t>14</w:t>
            </w:r>
          </w:p>
        </w:tc>
      </w:tr>
      <w:tr w:rsidR="00C03EC4" w:rsidRPr="002E75D4" w14:paraId="41F69E31" w14:textId="77777777" w:rsidTr="000D6136">
        <w:trPr>
          <w:gridBefore w:val="1"/>
          <w:wBefore w:w="709" w:type="dxa"/>
        </w:trPr>
        <w:tc>
          <w:tcPr>
            <w:tcW w:w="8647" w:type="dxa"/>
          </w:tcPr>
          <w:p w14:paraId="3F74B65F" w14:textId="77777777" w:rsidR="00C03EC4" w:rsidRPr="002E75D4" w:rsidRDefault="00C03EC4" w:rsidP="000D6136">
            <w:pPr>
              <w:pStyle w:val="Paragraphedeliste"/>
              <w:numPr>
                <w:ilvl w:val="1"/>
                <w:numId w:val="15"/>
              </w:numPr>
              <w:spacing w:before="120" w:after="40"/>
              <w:jc w:val="both"/>
              <w:rPr>
                <w:rFonts w:asciiTheme="majorHAnsi" w:hAnsiTheme="majorHAnsi" w:cstheme="majorHAnsi"/>
                <w:sz w:val="22"/>
                <w:szCs w:val="24"/>
                <w:lang w:val="fr-FR"/>
              </w:rPr>
            </w:pPr>
            <w:r w:rsidRPr="002E75D4">
              <w:rPr>
                <w:rFonts w:asciiTheme="majorHAnsi" w:hAnsiTheme="majorHAnsi" w:cstheme="majorHAnsi"/>
                <w:sz w:val="22"/>
                <w:szCs w:val="24"/>
                <w:lang w:val="fr-FR"/>
              </w:rPr>
              <w:t xml:space="preserve">     Scénarios climatiques du Mali à l’horizon 2100</w:t>
            </w:r>
          </w:p>
        </w:tc>
        <w:tc>
          <w:tcPr>
            <w:tcW w:w="1019" w:type="dxa"/>
          </w:tcPr>
          <w:p w14:paraId="7B854009"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15</w:t>
            </w:r>
          </w:p>
        </w:tc>
      </w:tr>
      <w:tr w:rsidR="00C03EC4" w:rsidRPr="002E75D4" w14:paraId="690C29F2" w14:textId="77777777" w:rsidTr="000D6136">
        <w:tc>
          <w:tcPr>
            <w:tcW w:w="9356" w:type="dxa"/>
            <w:gridSpan w:val="2"/>
          </w:tcPr>
          <w:p w14:paraId="2D1FA0A2" w14:textId="77777777" w:rsidR="00C03EC4" w:rsidRDefault="00C03EC4" w:rsidP="000D6136">
            <w:pPr>
              <w:spacing w:before="120" w:after="40"/>
              <w:jc w:val="both"/>
              <w:rPr>
                <w:rFonts w:cstheme="minorHAnsi"/>
                <w:b/>
                <w:szCs w:val="28"/>
                <w:lang w:val="fr-FR"/>
              </w:rPr>
            </w:pPr>
            <w:r w:rsidRPr="002E75D4">
              <w:rPr>
                <w:rFonts w:cstheme="minorHAnsi"/>
                <w:b/>
                <w:lang w:val="fr-FR"/>
              </w:rPr>
              <w:t xml:space="preserve">CHAPITRE 2 : METHODOLOGIE </w:t>
            </w:r>
            <w:r w:rsidRPr="002E75D4">
              <w:rPr>
                <w:rFonts w:cstheme="minorHAnsi"/>
                <w:b/>
                <w:szCs w:val="28"/>
                <w:lang w:val="fr-FR"/>
              </w:rPr>
              <w:t>D’ELABORATION DE LA CDN REVISEE</w:t>
            </w:r>
          </w:p>
          <w:p w14:paraId="316230BB" w14:textId="77777777" w:rsidR="00C03EC4" w:rsidRPr="00556BE5" w:rsidRDefault="00C03EC4" w:rsidP="000D6136">
            <w:pPr>
              <w:spacing w:before="120" w:after="40"/>
              <w:jc w:val="both"/>
              <w:rPr>
                <w:rFonts w:cstheme="minorHAnsi"/>
                <w:bCs/>
                <w:lang w:val="fr-FR"/>
              </w:rPr>
            </w:pPr>
            <w:r>
              <w:rPr>
                <w:rFonts w:cstheme="minorHAnsi"/>
                <w:b/>
                <w:lang w:val="fr-FR"/>
              </w:rPr>
              <w:t xml:space="preserve">              </w:t>
            </w:r>
            <w:r w:rsidRPr="00556BE5">
              <w:rPr>
                <w:rFonts w:cstheme="minorHAnsi"/>
                <w:bCs/>
                <w:lang w:val="fr-FR"/>
              </w:rPr>
              <w:t>2.1</w:t>
            </w:r>
            <w:r>
              <w:rPr>
                <w:rFonts w:cstheme="minorHAnsi"/>
                <w:bCs/>
                <w:lang w:val="fr-FR"/>
              </w:rPr>
              <w:t xml:space="preserve">       Utilisation des lignes directives du GIEC 2006.                                                                              18   </w:t>
            </w:r>
          </w:p>
          <w:p w14:paraId="1EF45385" w14:textId="77777777" w:rsidR="00C03EC4" w:rsidRPr="00556BE5" w:rsidRDefault="00C03EC4" w:rsidP="000D6136">
            <w:pPr>
              <w:spacing w:before="120" w:after="40"/>
              <w:jc w:val="both"/>
              <w:rPr>
                <w:rFonts w:cstheme="minorHAnsi"/>
                <w:bCs/>
                <w:lang w:val="fr-FR"/>
              </w:rPr>
            </w:pPr>
            <w:r w:rsidRPr="00556BE5">
              <w:rPr>
                <w:rFonts w:cstheme="minorHAnsi"/>
                <w:bCs/>
                <w:lang w:val="fr-FR"/>
              </w:rPr>
              <w:t xml:space="preserve">              2.2</w:t>
            </w:r>
            <w:r>
              <w:rPr>
                <w:rFonts w:cstheme="minorHAnsi"/>
                <w:bCs/>
                <w:lang w:val="fr-FR"/>
              </w:rPr>
              <w:t>.     Concertations régionales                                                                                                                  19</w:t>
            </w:r>
          </w:p>
          <w:p w14:paraId="1E34EA23" w14:textId="77777777" w:rsidR="00C03EC4" w:rsidRPr="00556BE5" w:rsidRDefault="00C03EC4" w:rsidP="000D6136">
            <w:pPr>
              <w:spacing w:before="120" w:after="40"/>
              <w:jc w:val="both"/>
              <w:rPr>
                <w:rFonts w:cstheme="minorHAnsi"/>
                <w:bCs/>
                <w:lang w:val="fr-FR"/>
              </w:rPr>
            </w:pPr>
            <w:r w:rsidRPr="00556BE5">
              <w:rPr>
                <w:rFonts w:cstheme="minorHAnsi"/>
                <w:bCs/>
                <w:lang w:val="fr-FR"/>
              </w:rPr>
              <w:t xml:space="preserve">              2.3</w:t>
            </w:r>
            <w:r>
              <w:rPr>
                <w:rFonts w:cstheme="minorHAnsi"/>
                <w:bCs/>
                <w:lang w:val="fr-FR"/>
              </w:rPr>
              <w:t>.     Prise en compte du genre dans le processus de révision de la CDN.                                           20</w:t>
            </w:r>
          </w:p>
          <w:p w14:paraId="6F070BDE" w14:textId="77777777" w:rsidR="00C03EC4" w:rsidRPr="002E75D4" w:rsidRDefault="00C03EC4" w:rsidP="000D6136">
            <w:pPr>
              <w:spacing w:before="120" w:after="40"/>
              <w:jc w:val="both"/>
              <w:rPr>
                <w:rFonts w:cstheme="minorHAnsi"/>
                <w:b/>
                <w:lang w:val="fr-FR"/>
              </w:rPr>
            </w:pPr>
            <w:r w:rsidRPr="00556BE5">
              <w:rPr>
                <w:rFonts w:cstheme="minorHAnsi"/>
                <w:bCs/>
                <w:lang w:val="fr-FR"/>
              </w:rPr>
              <w:t xml:space="preserve">              2.4</w:t>
            </w:r>
            <w:r>
              <w:rPr>
                <w:rFonts w:cstheme="minorHAnsi"/>
                <w:bCs/>
                <w:lang w:val="fr-FR"/>
              </w:rPr>
              <w:t>.      Contraintes et lacunes pour les inventaires de GES                                                                            23</w:t>
            </w:r>
          </w:p>
        </w:tc>
        <w:tc>
          <w:tcPr>
            <w:tcW w:w="1019" w:type="dxa"/>
          </w:tcPr>
          <w:p w14:paraId="7C5F249A" w14:textId="77777777" w:rsidR="00C03EC4" w:rsidRPr="002E75D4" w:rsidRDefault="00C03EC4" w:rsidP="000D6136">
            <w:pPr>
              <w:spacing w:before="120" w:after="40"/>
              <w:jc w:val="both"/>
              <w:rPr>
                <w:rFonts w:cstheme="minorHAnsi"/>
                <w:b/>
              </w:rPr>
            </w:pPr>
            <w:r w:rsidRPr="002E75D4">
              <w:rPr>
                <w:rFonts w:cstheme="minorHAnsi"/>
                <w:b/>
              </w:rPr>
              <w:t>17</w:t>
            </w:r>
          </w:p>
        </w:tc>
      </w:tr>
      <w:tr w:rsidR="00C03EC4" w:rsidRPr="002E75D4" w14:paraId="7F87A319" w14:textId="77777777" w:rsidTr="000D6136">
        <w:tc>
          <w:tcPr>
            <w:tcW w:w="9356" w:type="dxa"/>
            <w:gridSpan w:val="2"/>
          </w:tcPr>
          <w:p w14:paraId="12B20873" w14:textId="77777777" w:rsidR="00C03EC4" w:rsidRPr="002E75D4" w:rsidRDefault="00C03EC4" w:rsidP="000D6136">
            <w:pPr>
              <w:spacing w:before="120" w:after="40"/>
              <w:jc w:val="both"/>
              <w:rPr>
                <w:rFonts w:cstheme="minorHAnsi"/>
                <w:b/>
                <w:lang w:val="fr-FR"/>
              </w:rPr>
            </w:pPr>
            <w:r w:rsidRPr="002E75D4">
              <w:rPr>
                <w:rFonts w:cstheme="minorHAnsi"/>
                <w:b/>
                <w:lang w:val="fr-FR"/>
              </w:rPr>
              <w:t>CHAPITRE 3 : PREVISIONS DES EMISSIONS DE GES DU MALI</w:t>
            </w:r>
          </w:p>
        </w:tc>
        <w:tc>
          <w:tcPr>
            <w:tcW w:w="1019" w:type="dxa"/>
          </w:tcPr>
          <w:p w14:paraId="52FAEDF5" w14:textId="77777777" w:rsidR="00C03EC4" w:rsidRPr="002E75D4" w:rsidRDefault="00C03EC4" w:rsidP="000D6136">
            <w:pPr>
              <w:spacing w:before="120" w:after="40"/>
              <w:jc w:val="both"/>
              <w:rPr>
                <w:rFonts w:cstheme="minorHAnsi"/>
                <w:b/>
              </w:rPr>
            </w:pPr>
            <w:r w:rsidRPr="002E75D4">
              <w:rPr>
                <w:rFonts w:cstheme="minorHAnsi"/>
                <w:b/>
              </w:rPr>
              <w:t>2</w:t>
            </w:r>
            <w:r>
              <w:rPr>
                <w:rFonts w:cstheme="minorHAnsi"/>
                <w:b/>
              </w:rPr>
              <w:t>5</w:t>
            </w:r>
          </w:p>
        </w:tc>
      </w:tr>
      <w:tr w:rsidR="00C03EC4" w:rsidRPr="002E75D4" w14:paraId="44B81A92" w14:textId="77777777" w:rsidTr="000D6136">
        <w:trPr>
          <w:gridBefore w:val="1"/>
          <w:wBefore w:w="709" w:type="dxa"/>
        </w:trPr>
        <w:tc>
          <w:tcPr>
            <w:tcW w:w="8647" w:type="dxa"/>
          </w:tcPr>
          <w:p w14:paraId="1188E0C8" w14:textId="77777777" w:rsidR="00C03EC4" w:rsidRPr="002E75D4" w:rsidRDefault="00C03EC4" w:rsidP="000D6136">
            <w:pPr>
              <w:spacing w:before="120" w:after="40"/>
              <w:jc w:val="both"/>
              <w:rPr>
                <w:rFonts w:asciiTheme="majorHAnsi" w:hAnsiTheme="majorHAnsi" w:cstheme="majorHAnsi"/>
                <w:lang w:val="fr-FR"/>
              </w:rPr>
            </w:pPr>
            <w:r w:rsidRPr="002E75D4">
              <w:rPr>
                <w:rFonts w:asciiTheme="majorHAnsi" w:hAnsiTheme="majorHAnsi" w:cstheme="majorHAnsi"/>
                <w:szCs w:val="24"/>
                <w:lang w:val="fr-FR"/>
              </w:rPr>
              <w:t>3.1.      Bilan des émissions de GES de la période de référence 2015-2019</w:t>
            </w:r>
          </w:p>
        </w:tc>
        <w:tc>
          <w:tcPr>
            <w:tcW w:w="1019" w:type="dxa"/>
          </w:tcPr>
          <w:p w14:paraId="4B24254F"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2</w:t>
            </w:r>
            <w:r>
              <w:rPr>
                <w:rFonts w:asciiTheme="majorHAnsi" w:hAnsiTheme="majorHAnsi" w:cstheme="majorHAnsi"/>
              </w:rPr>
              <w:t>6</w:t>
            </w:r>
          </w:p>
        </w:tc>
      </w:tr>
      <w:tr w:rsidR="00C03EC4" w:rsidRPr="002E75D4" w14:paraId="71FE906F" w14:textId="77777777" w:rsidTr="000D6136">
        <w:trPr>
          <w:gridBefore w:val="1"/>
          <w:wBefore w:w="709" w:type="dxa"/>
        </w:trPr>
        <w:tc>
          <w:tcPr>
            <w:tcW w:w="8647" w:type="dxa"/>
          </w:tcPr>
          <w:p w14:paraId="65E028D4" w14:textId="77777777" w:rsidR="00C03EC4" w:rsidRPr="002E75D4" w:rsidRDefault="00C03EC4" w:rsidP="000D6136">
            <w:pPr>
              <w:spacing w:before="120" w:after="40"/>
              <w:jc w:val="both"/>
              <w:rPr>
                <w:rFonts w:asciiTheme="majorHAnsi" w:hAnsiTheme="majorHAnsi" w:cstheme="majorHAnsi"/>
                <w:szCs w:val="24"/>
              </w:rPr>
            </w:pPr>
            <w:r w:rsidRPr="002E75D4">
              <w:rPr>
                <w:rFonts w:asciiTheme="majorHAnsi" w:hAnsiTheme="majorHAnsi" w:cstheme="majorHAnsi"/>
                <w:szCs w:val="24"/>
              </w:rPr>
              <w:t>3.1.1.   Secteur de l’Energie</w:t>
            </w:r>
          </w:p>
        </w:tc>
        <w:tc>
          <w:tcPr>
            <w:tcW w:w="1019" w:type="dxa"/>
          </w:tcPr>
          <w:p w14:paraId="638B4C64"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2</w:t>
            </w:r>
            <w:r>
              <w:rPr>
                <w:rFonts w:asciiTheme="majorHAnsi" w:hAnsiTheme="majorHAnsi" w:cstheme="majorHAnsi"/>
              </w:rPr>
              <w:t>6</w:t>
            </w:r>
          </w:p>
        </w:tc>
      </w:tr>
      <w:tr w:rsidR="00C03EC4" w:rsidRPr="002E75D4" w14:paraId="2B3C601A" w14:textId="77777777" w:rsidTr="000D6136">
        <w:trPr>
          <w:gridBefore w:val="1"/>
          <w:wBefore w:w="709" w:type="dxa"/>
        </w:trPr>
        <w:tc>
          <w:tcPr>
            <w:tcW w:w="8647" w:type="dxa"/>
          </w:tcPr>
          <w:p w14:paraId="4DF7F90B" w14:textId="77777777" w:rsidR="00C03EC4" w:rsidRPr="002E75D4" w:rsidRDefault="00C03EC4" w:rsidP="000D6136">
            <w:pPr>
              <w:spacing w:before="120" w:after="40"/>
              <w:jc w:val="both"/>
              <w:rPr>
                <w:rFonts w:asciiTheme="majorHAnsi" w:hAnsiTheme="majorHAnsi" w:cstheme="majorHAnsi"/>
                <w:szCs w:val="24"/>
              </w:rPr>
            </w:pPr>
            <w:r w:rsidRPr="002E75D4">
              <w:rPr>
                <w:rFonts w:asciiTheme="majorHAnsi" w:hAnsiTheme="majorHAnsi" w:cstheme="majorHAnsi"/>
              </w:rPr>
              <w:t xml:space="preserve">3.1.2.   </w:t>
            </w:r>
            <w:r w:rsidRPr="002E75D4">
              <w:rPr>
                <w:rFonts w:asciiTheme="majorHAnsi" w:hAnsiTheme="majorHAnsi" w:cstheme="majorHAnsi"/>
                <w:szCs w:val="24"/>
              </w:rPr>
              <w:t>Secteur de l’Agriculture</w:t>
            </w:r>
          </w:p>
        </w:tc>
        <w:tc>
          <w:tcPr>
            <w:tcW w:w="1019" w:type="dxa"/>
          </w:tcPr>
          <w:p w14:paraId="3D1A0B9D"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2</w:t>
            </w:r>
            <w:r>
              <w:rPr>
                <w:rFonts w:asciiTheme="majorHAnsi" w:hAnsiTheme="majorHAnsi" w:cstheme="majorHAnsi"/>
              </w:rPr>
              <w:t>9</w:t>
            </w:r>
          </w:p>
        </w:tc>
      </w:tr>
      <w:tr w:rsidR="00C03EC4" w:rsidRPr="002E75D4" w14:paraId="68C70B95" w14:textId="77777777" w:rsidTr="000D6136">
        <w:trPr>
          <w:gridBefore w:val="1"/>
          <w:wBefore w:w="709" w:type="dxa"/>
        </w:trPr>
        <w:tc>
          <w:tcPr>
            <w:tcW w:w="8647" w:type="dxa"/>
          </w:tcPr>
          <w:p w14:paraId="463F85A9" w14:textId="77777777" w:rsidR="00C03EC4" w:rsidRPr="002E75D4" w:rsidRDefault="00C03EC4" w:rsidP="000D6136">
            <w:pPr>
              <w:spacing w:before="120" w:after="40"/>
              <w:ind w:left="717" w:hanging="709"/>
              <w:jc w:val="both"/>
              <w:rPr>
                <w:rFonts w:asciiTheme="majorHAnsi" w:hAnsiTheme="majorHAnsi" w:cstheme="majorHAnsi"/>
                <w:szCs w:val="24"/>
                <w:lang w:val="fr-FR"/>
              </w:rPr>
            </w:pPr>
            <w:r w:rsidRPr="002E75D4">
              <w:rPr>
                <w:rFonts w:asciiTheme="majorHAnsi" w:hAnsiTheme="majorHAnsi" w:cstheme="majorHAnsi"/>
                <w:szCs w:val="24"/>
                <w:lang w:val="fr-FR"/>
              </w:rPr>
              <w:t>3.1.3.   Secteur des Changements d’Affectation des Terres et de la Foresterie</w:t>
            </w:r>
          </w:p>
        </w:tc>
        <w:tc>
          <w:tcPr>
            <w:tcW w:w="1019" w:type="dxa"/>
          </w:tcPr>
          <w:p w14:paraId="0DF7716D" w14:textId="77777777" w:rsidR="00C03EC4" w:rsidRPr="002E75D4" w:rsidRDefault="00C03EC4" w:rsidP="000D6136">
            <w:pPr>
              <w:spacing w:before="120" w:after="40"/>
              <w:jc w:val="both"/>
              <w:rPr>
                <w:rFonts w:asciiTheme="majorHAnsi" w:hAnsiTheme="majorHAnsi" w:cstheme="majorHAnsi"/>
              </w:rPr>
            </w:pPr>
            <w:r>
              <w:rPr>
                <w:rFonts w:asciiTheme="majorHAnsi" w:hAnsiTheme="majorHAnsi" w:cstheme="majorHAnsi"/>
              </w:rPr>
              <w:t>31</w:t>
            </w:r>
          </w:p>
        </w:tc>
      </w:tr>
      <w:tr w:rsidR="00C03EC4" w:rsidRPr="002E75D4" w14:paraId="333CA596" w14:textId="77777777" w:rsidTr="000D6136">
        <w:trPr>
          <w:gridBefore w:val="1"/>
          <w:wBefore w:w="709" w:type="dxa"/>
        </w:trPr>
        <w:tc>
          <w:tcPr>
            <w:tcW w:w="8647" w:type="dxa"/>
          </w:tcPr>
          <w:p w14:paraId="37143AAE" w14:textId="77777777" w:rsidR="00C03EC4" w:rsidRPr="002E75D4" w:rsidRDefault="00C03EC4" w:rsidP="000D6136">
            <w:pPr>
              <w:spacing w:before="120" w:after="40"/>
              <w:jc w:val="both"/>
              <w:rPr>
                <w:rFonts w:asciiTheme="majorHAnsi" w:hAnsiTheme="majorHAnsi" w:cstheme="majorHAnsi"/>
                <w:szCs w:val="24"/>
              </w:rPr>
            </w:pPr>
            <w:r w:rsidRPr="002E75D4">
              <w:rPr>
                <w:rFonts w:asciiTheme="majorHAnsi" w:hAnsiTheme="majorHAnsi" w:cstheme="majorHAnsi"/>
              </w:rPr>
              <w:t xml:space="preserve">3.1.4.   </w:t>
            </w:r>
            <w:r w:rsidRPr="002E75D4">
              <w:rPr>
                <w:rFonts w:asciiTheme="majorHAnsi" w:hAnsiTheme="majorHAnsi" w:cstheme="majorHAnsi"/>
                <w:szCs w:val="24"/>
              </w:rPr>
              <w:t>Secteur des Déchets</w:t>
            </w:r>
          </w:p>
        </w:tc>
        <w:tc>
          <w:tcPr>
            <w:tcW w:w="1019" w:type="dxa"/>
          </w:tcPr>
          <w:p w14:paraId="1E1C001A"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3</w:t>
            </w:r>
            <w:r>
              <w:rPr>
                <w:rFonts w:asciiTheme="majorHAnsi" w:hAnsiTheme="majorHAnsi" w:cstheme="majorHAnsi"/>
              </w:rPr>
              <w:t>5</w:t>
            </w:r>
          </w:p>
        </w:tc>
      </w:tr>
      <w:tr w:rsidR="00C03EC4" w:rsidRPr="002E75D4" w14:paraId="75B98A79" w14:textId="77777777" w:rsidTr="000D6136">
        <w:trPr>
          <w:gridBefore w:val="1"/>
          <w:wBefore w:w="709" w:type="dxa"/>
        </w:trPr>
        <w:tc>
          <w:tcPr>
            <w:tcW w:w="8647" w:type="dxa"/>
          </w:tcPr>
          <w:p w14:paraId="38A9318D" w14:textId="77777777" w:rsidR="00C03EC4" w:rsidRPr="002E75D4" w:rsidRDefault="00C03EC4" w:rsidP="000D6136">
            <w:pPr>
              <w:spacing w:before="120" w:after="40"/>
              <w:jc w:val="both"/>
              <w:rPr>
                <w:rFonts w:asciiTheme="majorHAnsi" w:hAnsiTheme="majorHAnsi" w:cstheme="majorHAnsi"/>
                <w:lang w:val="fr-FR"/>
              </w:rPr>
            </w:pPr>
            <w:r w:rsidRPr="002E75D4">
              <w:rPr>
                <w:rFonts w:asciiTheme="majorHAnsi" w:hAnsiTheme="majorHAnsi" w:cstheme="majorHAnsi"/>
                <w:szCs w:val="24"/>
                <w:lang w:val="fr-FR"/>
              </w:rPr>
              <w:t>3.2.      Prévisions des émissions pour la période 2020-2030</w:t>
            </w:r>
          </w:p>
        </w:tc>
        <w:tc>
          <w:tcPr>
            <w:tcW w:w="1019" w:type="dxa"/>
          </w:tcPr>
          <w:p w14:paraId="4DDEC1B1"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3</w:t>
            </w:r>
            <w:r>
              <w:rPr>
                <w:rFonts w:asciiTheme="majorHAnsi" w:hAnsiTheme="majorHAnsi" w:cstheme="majorHAnsi"/>
              </w:rPr>
              <w:t>7</w:t>
            </w:r>
          </w:p>
        </w:tc>
      </w:tr>
      <w:tr w:rsidR="00C03EC4" w:rsidRPr="002E75D4" w14:paraId="2C4C9166" w14:textId="77777777" w:rsidTr="000D6136">
        <w:trPr>
          <w:gridBefore w:val="1"/>
          <w:wBefore w:w="709" w:type="dxa"/>
        </w:trPr>
        <w:tc>
          <w:tcPr>
            <w:tcW w:w="8647" w:type="dxa"/>
          </w:tcPr>
          <w:p w14:paraId="6A0248BA"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szCs w:val="24"/>
                <w:lang w:val="fr-FR"/>
              </w:rPr>
              <w:t>3.2.1.   Emissions de GES dans le secteur de l’Energie</w:t>
            </w:r>
          </w:p>
        </w:tc>
        <w:tc>
          <w:tcPr>
            <w:tcW w:w="1019" w:type="dxa"/>
          </w:tcPr>
          <w:p w14:paraId="74AD02AD"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3</w:t>
            </w:r>
            <w:r>
              <w:rPr>
                <w:rFonts w:asciiTheme="majorHAnsi" w:hAnsiTheme="majorHAnsi" w:cstheme="majorHAnsi"/>
              </w:rPr>
              <w:t>7</w:t>
            </w:r>
          </w:p>
        </w:tc>
      </w:tr>
      <w:tr w:rsidR="00C03EC4" w:rsidRPr="002E75D4" w14:paraId="054BF00A" w14:textId="77777777" w:rsidTr="000D6136">
        <w:trPr>
          <w:gridBefore w:val="1"/>
          <w:wBefore w:w="709" w:type="dxa"/>
        </w:trPr>
        <w:tc>
          <w:tcPr>
            <w:tcW w:w="8647" w:type="dxa"/>
          </w:tcPr>
          <w:p w14:paraId="1072B4EC"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lang w:val="fr-FR"/>
              </w:rPr>
              <w:t xml:space="preserve">3.2.2.   </w:t>
            </w:r>
            <w:r w:rsidRPr="002E75D4">
              <w:rPr>
                <w:rFonts w:asciiTheme="majorHAnsi" w:hAnsiTheme="majorHAnsi" w:cstheme="majorHAnsi"/>
                <w:szCs w:val="24"/>
                <w:lang w:val="fr-FR"/>
              </w:rPr>
              <w:t xml:space="preserve">Emissions de GES dans le secteur de l’Agriculture </w:t>
            </w:r>
          </w:p>
        </w:tc>
        <w:tc>
          <w:tcPr>
            <w:tcW w:w="1019" w:type="dxa"/>
          </w:tcPr>
          <w:p w14:paraId="1B93846C" w14:textId="77777777" w:rsidR="00C03EC4" w:rsidRPr="002E75D4" w:rsidRDefault="00C03EC4" w:rsidP="000D6136">
            <w:pPr>
              <w:spacing w:before="120" w:after="40"/>
              <w:jc w:val="both"/>
              <w:rPr>
                <w:rFonts w:asciiTheme="majorHAnsi" w:hAnsiTheme="majorHAnsi" w:cstheme="majorHAnsi"/>
              </w:rPr>
            </w:pPr>
            <w:r>
              <w:rPr>
                <w:rFonts w:asciiTheme="majorHAnsi" w:hAnsiTheme="majorHAnsi" w:cstheme="majorHAnsi"/>
              </w:rPr>
              <w:t>40</w:t>
            </w:r>
          </w:p>
        </w:tc>
      </w:tr>
      <w:tr w:rsidR="00C03EC4" w:rsidRPr="002E75D4" w14:paraId="78BE2E00" w14:textId="77777777" w:rsidTr="000D6136">
        <w:trPr>
          <w:gridBefore w:val="1"/>
          <w:wBefore w:w="709" w:type="dxa"/>
        </w:trPr>
        <w:tc>
          <w:tcPr>
            <w:tcW w:w="8647" w:type="dxa"/>
          </w:tcPr>
          <w:p w14:paraId="4D446A14"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szCs w:val="24"/>
                <w:lang w:val="fr-FR"/>
              </w:rPr>
              <w:t xml:space="preserve">3.2.3.  Emissions de GES dans le secteur des changements d’Affectation des Terres </w:t>
            </w:r>
          </w:p>
          <w:p w14:paraId="54A64ED1" w14:textId="77777777" w:rsidR="00C03EC4" w:rsidRPr="002E75D4" w:rsidRDefault="00C03EC4" w:rsidP="000D6136">
            <w:pPr>
              <w:spacing w:before="120" w:after="40"/>
              <w:jc w:val="both"/>
              <w:rPr>
                <w:rFonts w:asciiTheme="majorHAnsi" w:hAnsiTheme="majorHAnsi" w:cstheme="majorHAnsi"/>
                <w:szCs w:val="24"/>
              </w:rPr>
            </w:pPr>
            <w:r w:rsidRPr="002E75D4">
              <w:rPr>
                <w:rFonts w:asciiTheme="majorHAnsi" w:hAnsiTheme="majorHAnsi" w:cstheme="majorHAnsi"/>
                <w:szCs w:val="24"/>
              </w:rPr>
              <w:t>et de la Foresterie</w:t>
            </w:r>
          </w:p>
        </w:tc>
        <w:tc>
          <w:tcPr>
            <w:tcW w:w="1019" w:type="dxa"/>
          </w:tcPr>
          <w:p w14:paraId="0B2A81B2"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4</w:t>
            </w:r>
            <w:r>
              <w:rPr>
                <w:rFonts w:asciiTheme="majorHAnsi" w:hAnsiTheme="majorHAnsi" w:cstheme="majorHAnsi"/>
              </w:rPr>
              <w:t>2</w:t>
            </w:r>
          </w:p>
        </w:tc>
      </w:tr>
      <w:tr w:rsidR="00C03EC4" w:rsidRPr="002E75D4" w14:paraId="4C1D4458" w14:textId="77777777" w:rsidTr="000D6136">
        <w:trPr>
          <w:gridBefore w:val="1"/>
          <w:wBefore w:w="709" w:type="dxa"/>
        </w:trPr>
        <w:tc>
          <w:tcPr>
            <w:tcW w:w="8647" w:type="dxa"/>
          </w:tcPr>
          <w:p w14:paraId="32F7B9E0"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lang w:val="fr-FR"/>
              </w:rPr>
              <w:t xml:space="preserve">3.2.4.    </w:t>
            </w:r>
            <w:r w:rsidRPr="002E75D4">
              <w:rPr>
                <w:rFonts w:asciiTheme="majorHAnsi" w:hAnsiTheme="majorHAnsi" w:cstheme="majorHAnsi"/>
                <w:szCs w:val="24"/>
                <w:lang w:val="fr-FR"/>
              </w:rPr>
              <w:t>Emissions de GES dans le secteur des Déchets</w:t>
            </w:r>
          </w:p>
        </w:tc>
        <w:tc>
          <w:tcPr>
            <w:tcW w:w="1019" w:type="dxa"/>
          </w:tcPr>
          <w:p w14:paraId="64A29439"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4</w:t>
            </w:r>
            <w:r>
              <w:rPr>
                <w:rFonts w:asciiTheme="majorHAnsi" w:hAnsiTheme="majorHAnsi" w:cstheme="majorHAnsi"/>
              </w:rPr>
              <w:t>7</w:t>
            </w:r>
          </w:p>
        </w:tc>
      </w:tr>
      <w:tr w:rsidR="00C03EC4" w:rsidRPr="002E75D4" w14:paraId="5D68A18F" w14:textId="77777777" w:rsidTr="000D6136">
        <w:trPr>
          <w:gridBefore w:val="1"/>
          <w:wBefore w:w="709" w:type="dxa"/>
        </w:trPr>
        <w:tc>
          <w:tcPr>
            <w:tcW w:w="8647" w:type="dxa"/>
          </w:tcPr>
          <w:p w14:paraId="19D3C48E" w14:textId="77777777" w:rsidR="00C03EC4" w:rsidRPr="002E75D4" w:rsidRDefault="00C03EC4" w:rsidP="000D6136">
            <w:pPr>
              <w:spacing w:before="120" w:after="40"/>
              <w:jc w:val="both"/>
              <w:rPr>
                <w:rFonts w:asciiTheme="majorHAnsi" w:hAnsiTheme="majorHAnsi" w:cstheme="majorHAnsi"/>
                <w:lang w:val="fr-FR"/>
              </w:rPr>
            </w:pPr>
            <w:r w:rsidRPr="002E75D4">
              <w:rPr>
                <w:rFonts w:asciiTheme="majorHAnsi" w:hAnsiTheme="majorHAnsi" w:cstheme="majorHAnsi"/>
                <w:szCs w:val="24"/>
                <w:lang w:val="fr-FR"/>
              </w:rPr>
              <w:t xml:space="preserve">3.2.5.    Synthèse des émissions de la période 2020-2030 </w:t>
            </w:r>
          </w:p>
        </w:tc>
        <w:tc>
          <w:tcPr>
            <w:tcW w:w="1019" w:type="dxa"/>
          </w:tcPr>
          <w:p w14:paraId="6C28343B"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4</w:t>
            </w:r>
            <w:r>
              <w:rPr>
                <w:rFonts w:asciiTheme="majorHAnsi" w:hAnsiTheme="majorHAnsi" w:cstheme="majorHAnsi"/>
              </w:rPr>
              <w:t>9</w:t>
            </w:r>
          </w:p>
        </w:tc>
      </w:tr>
      <w:tr w:rsidR="00C03EC4" w:rsidRPr="002E75D4" w14:paraId="14DB9F91" w14:textId="77777777" w:rsidTr="000D6136">
        <w:trPr>
          <w:gridBefore w:val="1"/>
          <w:wBefore w:w="709" w:type="dxa"/>
        </w:trPr>
        <w:tc>
          <w:tcPr>
            <w:tcW w:w="8647" w:type="dxa"/>
          </w:tcPr>
          <w:p w14:paraId="120ADAF8"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szCs w:val="24"/>
                <w:lang w:val="fr-FR"/>
              </w:rPr>
              <w:t>3.3.       Les polluants atmosphériques à courte durée de vie</w:t>
            </w:r>
          </w:p>
        </w:tc>
        <w:tc>
          <w:tcPr>
            <w:tcW w:w="1019" w:type="dxa"/>
          </w:tcPr>
          <w:p w14:paraId="457F24C6"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5</w:t>
            </w:r>
            <w:r>
              <w:rPr>
                <w:rFonts w:asciiTheme="majorHAnsi" w:hAnsiTheme="majorHAnsi" w:cstheme="majorHAnsi"/>
              </w:rPr>
              <w:t>2</w:t>
            </w:r>
          </w:p>
          <w:p w14:paraId="39B2A11D" w14:textId="77777777" w:rsidR="00C03EC4" w:rsidRPr="002E75D4" w:rsidRDefault="00C03EC4" w:rsidP="000D6136">
            <w:pPr>
              <w:spacing w:before="120" w:after="40"/>
              <w:jc w:val="both"/>
              <w:rPr>
                <w:rFonts w:asciiTheme="majorHAnsi" w:hAnsiTheme="majorHAnsi" w:cstheme="majorHAnsi"/>
              </w:rPr>
            </w:pPr>
          </w:p>
        </w:tc>
      </w:tr>
      <w:tr w:rsidR="00C03EC4" w:rsidRPr="002E75D4" w14:paraId="30AC9937" w14:textId="77777777" w:rsidTr="000D6136">
        <w:tc>
          <w:tcPr>
            <w:tcW w:w="9356" w:type="dxa"/>
            <w:gridSpan w:val="2"/>
          </w:tcPr>
          <w:p w14:paraId="488542D6" w14:textId="77777777" w:rsidR="00C03EC4" w:rsidRDefault="00C03EC4" w:rsidP="000D6136">
            <w:pPr>
              <w:spacing w:before="120" w:after="40"/>
              <w:jc w:val="both"/>
              <w:rPr>
                <w:rFonts w:cstheme="minorHAnsi"/>
                <w:b/>
                <w:lang w:val="fr-FR"/>
              </w:rPr>
            </w:pPr>
          </w:p>
          <w:p w14:paraId="3B61D852" w14:textId="77777777" w:rsidR="00C03EC4" w:rsidRPr="002E75D4" w:rsidRDefault="00C03EC4" w:rsidP="000D6136">
            <w:pPr>
              <w:spacing w:before="120" w:after="40"/>
              <w:jc w:val="both"/>
              <w:rPr>
                <w:rFonts w:cstheme="minorHAnsi"/>
                <w:b/>
                <w:szCs w:val="28"/>
                <w:lang w:val="fr-FR"/>
              </w:rPr>
            </w:pPr>
            <w:r w:rsidRPr="002E75D4">
              <w:rPr>
                <w:rFonts w:cstheme="minorHAnsi"/>
                <w:b/>
                <w:lang w:val="fr-FR"/>
              </w:rPr>
              <w:t xml:space="preserve">CHAPITRE 4 : </w:t>
            </w:r>
            <w:r w:rsidRPr="002E75D4">
              <w:rPr>
                <w:rFonts w:cstheme="minorHAnsi"/>
                <w:b/>
                <w:szCs w:val="28"/>
                <w:lang w:val="fr-FR"/>
              </w:rPr>
              <w:t>IMPLICATION DES ACTEURS NON ETATIQUES DANS LA CDN</w:t>
            </w:r>
            <w:r>
              <w:rPr>
                <w:rFonts w:cstheme="minorHAnsi"/>
                <w:b/>
                <w:szCs w:val="28"/>
                <w:lang w:val="fr-FR"/>
              </w:rPr>
              <w:t xml:space="preserve">                                                                   59</w:t>
            </w:r>
          </w:p>
        </w:tc>
        <w:tc>
          <w:tcPr>
            <w:tcW w:w="1019" w:type="dxa"/>
          </w:tcPr>
          <w:p w14:paraId="33B48DB1" w14:textId="77777777" w:rsidR="00C03EC4" w:rsidRPr="00F55CD5" w:rsidRDefault="00C03EC4" w:rsidP="000D6136">
            <w:pPr>
              <w:spacing w:before="120" w:after="40"/>
              <w:ind w:left="147" w:right="96" w:hanging="137"/>
              <w:jc w:val="both"/>
              <w:rPr>
                <w:rFonts w:cstheme="minorHAnsi"/>
                <w:b/>
                <w:lang w:val="fr-FR"/>
              </w:rPr>
            </w:pPr>
          </w:p>
        </w:tc>
      </w:tr>
      <w:tr w:rsidR="00C03EC4" w:rsidRPr="002E75D4" w14:paraId="0D28A982" w14:textId="77777777" w:rsidTr="000D6136">
        <w:trPr>
          <w:gridBefore w:val="1"/>
          <w:wBefore w:w="709" w:type="dxa"/>
        </w:trPr>
        <w:tc>
          <w:tcPr>
            <w:tcW w:w="8647" w:type="dxa"/>
          </w:tcPr>
          <w:p w14:paraId="687EAB9E"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szCs w:val="24"/>
                <w:lang w:val="fr-FR"/>
              </w:rPr>
              <w:t>4.1.        Implication de la société civile dans la CDN</w:t>
            </w:r>
          </w:p>
        </w:tc>
        <w:tc>
          <w:tcPr>
            <w:tcW w:w="1019" w:type="dxa"/>
          </w:tcPr>
          <w:p w14:paraId="5E8AC807" w14:textId="77777777" w:rsidR="00C03EC4" w:rsidRPr="002E75D4" w:rsidRDefault="00C03EC4" w:rsidP="000D6136">
            <w:pPr>
              <w:spacing w:before="120" w:after="40"/>
              <w:jc w:val="both"/>
              <w:rPr>
                <w:rFonts w:asciiTheme="majorHAnsi" w:hAnsiTheme="majorHAnsi" w:cstheme="majorHAnsi"/>
              </w:rPr>
            </w:pPr>
            <w:r>
              <w:rPr>
                <w:rFonts w:asciiTheme="majorHAnsi" w:hAnsiTheme="majorHAnsi" w:cstheme="majorHAnsi"/>
              </w:rPr>
              <w:t>60</w:t>
            </w:r>
          </w:p>
        </w:tc>
      </w:tr>
      <w:tr w:rsidR="00C03EC4" w:rsidRPr="002E75D4" w14:paraId="63E3FCFD" w14:textId="77777777" w:rsidTr="000D6136">
        <w:trPr>
          <w:gridBefore w:val="1"/>
          <w:wBefore w:w="709" w:type="dxa"/>
        </w:trPr>
        <w:tc>
          <w:tcPr>
            <w:tcW w:w="8647" w:type="dxa"/>
          </w:tcPr>
          <w:p w14:paraId="6BFBA875"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szCs w:val="24"/>
                <w:lang w:val="fr-FR"/>
              </w:rPr>
              <w:t>4.2.     Implication des collectivités territoriales dans la CDN</w:t>
            </w:r>
          </w:p>
        </w:tc>
        <w:tc>
          <w:tcPr>
            <w:tcW w:w="1019" w:type="dxa"/>
          </w:tcPr>
          <w:p w14:paraId="307A6E3E" w14:textId="77777777" w:rsidR="00C03EC4" w:rsidRPr="002E75D4" w:rsidRDefault="00C03EC4" w:rsidP="000D6136">
            <w:pPr>
              <w:spacing w:before="120" w:after="40"/>
              <w:jc w:val="both"/>
              <w:rPr>
                <w:rFonts w:asciiTheme="majorHAnsi" w:hAnsiTheme="majorHAnsi" w:cstheme="majorHAnsi"/>
              </w:rPr>
            </w:pPr>
            <w:r>
              <w:rPr>
                <w:rFonts w:asciiTheme="majorHAnsi" w:hAnsiTheme="majorHAnsi" w:cstheme="majorHAnsi"/>
              </w:rPr>
              <w:t>60</w:t>
            </w:r>
          </w:p>
        </w:tc>
      </w:tr>
      <w:tr w:rsidR="00C03EC4" w:rsidRPr="002E75D4" w14:paraId="080697F0" w14:textId="77777777" w:rsidTr="000D6136">
        <w:trPr>
          <w:gridBefore w:val="1"/>
          <w:wBefore w:w="709" w:type="dxa"/>
        </w:trPr>
        <w:tc>
          <w:tcPr>
            <w:tcW w:w="8647" w:type="dxa"/>
          </w:tcPr>
          <w:p w14:paraId="3C6D6627" w14:textId="77777777" w:rsidR="00C03EC4" w:rsidRPr="002E75D4" w:rsidRDefault="00C03EC4" w:rsidP="000D6136">
            <w:pPr>
              <w:tabs>
                <w:tab w:val="left" w:pos="4871"/>
              </w:tabs>
              <w:spacing w:before="120" w:after="40"/>
              <w:jc w:val="both"/>
              <w:rPr>
                <w:rFonts w:asciiTheme="majorHAnsi" w:hAnsiTheme="majorHAnsi" w:cstheme="majorHAnsi"/>
                <w:szCs w:val="24"/>
                <w:lang w:val="fr-FR"/>
              </w:rPr>
            </w:pPr>
            <w:r w:rsidRPr="002E75D4">
              <w:rPr>
                <w:rFonts w:asciiTheme="majorHAnsi" w:hAnsiTheme="majorHAnsi" w:cstheme="majorHAnsi"/>
                <w:szCs w:val="24"/>
                <w:lang w:val="fr-FR"/>
              </w:rPr>
              <w:t>4.3.     Implication du secteur privé dans la CDN</w:t>
            </w:r>
          </w:p>
        </w:tc>
        <w:tc>
          <w:tcPr>
            <w:tcW w:w="1019" w:type="dxa"/>
          </w:tcPr>
          <w:p w14:paraId="4BF4C3C1" w14:textId="77777777" w:rsidR="00C03EC4" w:rsidRPr="002E75D4" w:rsidRDefault="00C03EC4" w:rsidP="000D6136">
            <w:pPr>
              <w:spacing w:before="120" w:after="40"/>
              <w:jc w:val="both"/>
              <w:rPr>
                <w:rFonts w:asciiTheme="majorHAnsi" w:hAnsiTheme="majorHAnsi" w:cstheme="majorHAnsi"/>
              </w:rPr>
            </w:pPr>
            <w:r>
              <w:rPr>
                <w:rFonts w:asciiTheme="majorHAnsi" w:hAnsiTheme="majorHAnsi" w:cstheme="majorHAnsi"/>
              </w:rPr>
              <w:t>61</w:t>
            </w:r>
          </w:p>
        </w:tc>
      </w:tr>
      <w:tr w:rsidR="00C03EC4" w:rsidRPr="002E75D4" w14:paraId="190FEEEF" w14:textId="77777777" w:rsidTr="000D6136">
        <w:tc>
          <w:tcPr>
            <w:tcW w:w="9356" w:type="dxa"/>
            <w:gridSpan w:val="2"/>
          </w:tcPr>
          <w:p w14:paraId="7FFF76F9" w14:textId="77777777" w:rsidR="00C03EC4" w:rsidRPr="002E75D4" w:rsidRDefault="00C03EC4" w:rsidP="000D6136">
            <w:pPr>
              <w:spacing w:before="120" w:after="40"/>
              <w:jc w:val="both"/>
              <w:rPr>
                <w:rFonts w:cstheme="minorHAnsi"/>
                <w:b/>
                <w:lang w:val="fr-FR"/>
              </w:rPr>
            </w:pPr>
            <w:r w:rsidRPr="002E75D4">
              <w:rPr>
                <w:rFonts w:cstheme="minorHAnsi"/>
                <w:b/>
                <w:lang w:val="fr-FR"/>
              </w:rPr>
              <w:t>CHAPITRE 5 : PREVISIONS EN MATIERE D’ADAPTATION</w:t>
            </w:r>
          </w:p>
        </w:tc>
        <w:tc>
          <w:tcPr>
            <w:tcW w:w="1019" w:type="dxa"/>
          </w:tcPr>
          <w:p w14:paraId="068435C8" w14:textId="77777777" w:rsidR="00C03EC4" w:rsidRPr="002E75D4" w:rsidRDefault="00C03EC4" w:rsidP="000D6136">
            <w:pPr>
              <w:spacing w:before="120" w:after="40"/>
              <w:jc w:val="both"/>
              <w:rPr>
                <w:rFonts w:cstheme="minorHAnsi"/>
                <w:b/>
              </w:rPr>
            </w:pPr>
            <w:r w:rsidRPr="002E75D4">
              <w:rPr>
                <w:rFonts w:cstheme="minorHAnsi"/>
                <w:b/>
              </w:rPr>
              <w:t>6</w:t>
            </w:r>
            <w:r>
              <w:rPr>
                <w:rFonts w:cstheme="minorHAnsi"/>
                <w:b/>
              </w:rPr>
              <w:t>3</w:t>
            </w:r>
          </w:p>
        </w:tc>
      </w:tr>
      <w:tr w:rsidR="00C03EC4" w:rsidRPr="002E75D4" w14:paraId="1EECF222" w14:textId="77777777" w:rsidTr="000D6136">
        <w:trPr>
          <w:gridBefore w:val="1"/>
          <w:wBefore w:w="709" w:type="dxa"/>
        </w:trPr>
        <w:tc>
          <w:tcPr>
            <w:tcW w:w="8647" w:type="dxa"/>
          </w:tcPr>
          <w:p w14:paraId="134DFFEC"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szCs w:val="24"/>
                <w:lang w:val="fr-FR"/>
              </w:rPr>
              <w:t>5.1.     Bilan des politiques et des stratégies nationales</w:t>
            </w:r>
          </w:p>
        </w:tc>
        <w:tc>
          <w:tcPr>
            <w:tcW w:w="1019" w:type="dxa"/>
          </w:tcPr>
          <w:p w14:paraId="325FC3F2"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6</w:t>
            </w:r>
            <w:r>
              <w:rPr>
                <w:rFonts w:asciiTheme="majorHAnsi" w:hAnsiTheme="majorHAnsi" w:cstheme="majorHAnsi"/>
              </w:rPr>
              <w:t>6</w:t>
            </w:r>
          </w:p>
        </w:tc>
      </w:tr>
      <w:tr w:rsidR="00C03EC4" w:rsidRPr="002E75D4" w14:paraId="63A8D446" w14:textId="77777777" w:rsidTr="000D6136">
        <w:trPr>
          <w:gridBefore w:val="1"/>
          <w:wBefore w:w="709" w:type="dxa"/>
        </w:trPr>
        <w:tc>
          <w:tcPr>
            <w:tcW w:w="8647" w:type="dxa"/>
          </w:tcPr>
          <w:p w14:paraId="0311C651"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szCs w:val="24"/>
                <w:lang w:val="fr-FR"/>
              </w:rPr>
              <w:t xml:space="preserve">5.2.     Critères de sélection des projets d’adaptation </w:t>
            </w:r>
          </w:p>
        </w:tc>
        <w:tc>
          <w:tcPr>
            <w:tcW w:w="1019" w:type="dxa"/>
          </w:tcPr>
          <w:p w14:paraId="5BF1BB3C"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6</w:t>
            </w:r>
            <w:r>
              <w:rPr>
                <w:rFonts w:asciiTheme="majorHAnsi" w:hAnsiTheme="majorHAnsi" w:cstheme="majorHAnsi"/>
              </w:rPr>
              <w:t>6</w:t>
            </w:r>
          </w:p>
        </w:tc>
      </w:tr>
      <w:tr w:rsidR="00C03EC4" w:rsidRPr="002E75D4" w14:paraId="16B37620" w14:textId="77777777" w:rsidTr="000D6136">
        <w:trPr>
          <w:gridBefore w:val="1"/>
          <w:wBefore w:w="709" w:type="dxa"/>
        </w:trPr>
        <w:tc>
          <w:tcPr>
            <w:tcW w:w="8647" w:type="dxa"/>
          </w:tcPr>
          <w:p w14:paraId="5EE46C5A" w14:textId="77777777" w:rsidR="00C03EC4" w:rsidRPr="002E75D4" w:rsidRDefault="00C03EC4" w:rsidP="000D6136">
            <w:pPr>
              <w:spacing w:before="120" w:after="40"/>
              <w:jc w:val="both"/>
              <w:rPr>
                <w:rFonts w:asciiTheme="majorHAnsi" w:hAnsiTheme="majorHAnsi" w:cstheme="majorHAnsi"/>
                <w:szCs w:val="24"/>
                <w:lang w:val="fr-FR"/>
              </w:rPr>
            </w:pPr>
            <w:r w:rsidRPr="002E75D4">
              <w:rPr>
                <w:rFonts w:asciiTheme="majorHAnsi" w:hAnsiTheme="majorHAnsi" w:cstheme="majorHAnsi"/>
                <w:szCs w:val="24"/>
                <w:lang w:val="fr-FR"/>
              </w:rPr>
              <w:t>5.3.     Prévision des projets d’adaptation pour la période 2020-2030</w:t>
            </w:r>
          </w:p>
        </w:tc>
        <w:tc>
          <w:tcPr>
            <w:tcW w:w="1019" w:type="dxa"/>
          </w:tcPr>
          <w:p w14:paraId="7C1D9A40" w14:textId="77777777" w:rsidR="00C03EC4" w:rsidRPr="002E75D4" w:rsidRDefault="00C03EC4" w:rsidP="000D6136">
            <w:pPr>
              <w:spacing w:before="120" w:after="40"/>
              <w:jc w:val="both"/>
              <w:rPr>
                <w:rFonts w:asciiTheme="majorHAnsi" w:hAnsiTheme="majorHAnsi" w:cstheme="majorHAnsi"/>
              </w:rPr>
            </w:pPr>
            <w:r w:rsidRPr="002E75D4">
              <w:rPr>
                <w:rFonts w:asciiTheme="majorHAnsi" w:hAnsiTheme="majorHAnsi" w:cstheme="majorHAnsi"/>
              </w:rPr>
              <w:t>6</w:t>
            </w:r>
            <w:r>
              <w:rPr>
                <w:rFonts w:asciiTheme="majorHAnsi" w:hAnsiTheme="majorHAnsi" w:cstheme="majorHAnsi"/>
              </w:rPr>
              <w:t>6</w:t>
            </w:r>
          </w:p>
        </w:tc>
      </w:tr>
      <w:tr w:rsidR="00C03EC4" w:rsidRPr="002E75D4" w14:paraId="610B2071" w14:textId="77777777" w:rsidTr="000D6136">
        <w:tc>
          <w:tcPr>
            <w:tcW w:w="9356" w:type="dxa"/>
            <w:gridSpan w:val="2"/>
          </w:tcPr>
          <w:p w14:paraId="7DC75A40" w14:textId="77777777" w:rsidR="00C03EC4" w:rsidRPr="002E75D4" w:rsidRDefault="00C03EC4" w:rsidP="000D6136">
            <w:pPr>
              <w:spacing w:before="120" w:after="40"/>
              <w:jc w:val="both"/>
              <w:rPr>
                <w:rFonts w:cstheme="minorHAnsi"/>
                <w:b/>
                <w:lang w:val="fr-FR"/>
              </w:rPr>
            </w:pPr>
            <w:r w:rsidRPr="002E75D4">
              <w:rPr>
                <w:rFonts w:cstheme="minorHAnsi"/>
                <w:b/>
                <w:lang w:val="fr-FR"/>
              </w:rPr>
              <w:t>CHAPITRE 6 : MOYENS DE SOUTIEN ET DE RENFORCEMENT</w:t>
            </w:r>
          </w:p>
        </w:tc>
        <w:tc>
          <w:tcPr>
            <w:tcW w:w="1019" w:type="dxa"/>
          </w:tcPr>
          <w:p w14:paraId="63DE4508" w14:textId="77777777" w:rsidR="00C03EC4" w:rsidRPr="002E75D4" w:rsidRDefault="00C03EC4" w:rsidP="000D6136">
            <w:pPr>
              <w:spacing w:before="120" w:after="40"/>
              <w:ind w:right="-105"/>
              <w:jc w:val="both"/>
              <w:rPr>
                <w:rFonts w:cstheme="minorHAnsi"/>
                <w:b/>
              </w:rPr>
            </w:pPr>
            <w:r w:rsidRPr="002E75D4">
              <w:rPr>
                <w:rFonts w:cstheme="minorHAnsi"/>
                <w:b/>
              </w:rPr>
              <w:t>7</w:t>
            </w:r>
            <w:r>
              <w:rPr>
                <w:rFonts w:cstheme="minorHAnsi"/>
                <w:b/>
              </w:rPr>
              <w:t>3</w:t>
            </w:r>
          </w:p>
        </w:tc>
      </w:tr>
      <w:tr w:rsidR="00C03EC4" w:rsidRPr="002E75D4" w14:paraId="59CA4FA2" w14:textId="77777777" w:rsidTr="000D6136">
        <w:trPr>
          <w:gridBefore w:val="1"/>
          <w:wBefore w:w="709" w:type="dxa"/>
        </w:trPr>
        <w:tc>
          <w:tcPr>
            <w:tcW w:w="8647" w:type="dxa"/>
          </w:tcPr>
          <w:p w14:paraId="02E87568" w14:textId="77777777" w:rsidR="00C03EC4" w:rsidRPr="00F55CD5" w:rsidRDefault="00C03EC4" w:rsidP="000D6136">
            <w:pPr>
              <w:spacing w:before="120" w:after="40"/>
              <w:jc w:val="both"/>
              <w:rPr>
                <w:rFonts w:asciiTheme="majorHAnsi" w:hAnsiTheme="majorHAnsi" w:cstheme="majorHAnsi"/>
                <w:lang w:val="fr-FR"/>
              </w:rPr>
            </w:pPr>
            <w:r w:rsidRPr="00F55CD5">
              <w:rPr>
                <w:rFonts w:asciiTheme="majorHAnsi" w:hAnsiTheme="majorHAnsi" w:cstheme="majorHAnsi"/>
                <w:lang w:val="fr-FR"/>
              </w:rPr>
              <w:t>6.1.     Stratégies et</w:t>
            </w:r>
            <w:r>
              <w:rPr>
                <w:rFonts w:asciiTheme="majorHAnsi" w:hAnsiTheme="majorHAnsi" w:cstheme="majorHAnsi"/>
                <w:lang w:val="fr-FR"/>
              </w:rPr>
              <w:t xml:space="preserve"> mobilisations</w:t>
            </w:r>
            <w:r w:rsidRPr="00F55CD5">
              <w:rPr>
                <w:rFonts w:asciiTheme="majorHAnsi" w:hAnsiTheme="majorHAnsi" w:cstheme="majorHAnsi"/>
                <w:lang w:val="fr-FR"/>
              </w:rPr>
              <w:t xml:space="preserve"> de</w:t>
            </w:r>
            <w:r>
              <w:rPr>
                <w:rFonts w:asciiTheme="majorHAnsi" w:hAnsiTheme="majorHAnsi" w:cstheme="majorHAnsi"/>
                <w:lang w:val="fr-FR"/>
              </w:rPr>
              <w:t>s</w:t>
            </w:r>
            <w:r w:rsidRPr="00F55CD5">
              <w:rPr>
                <w:rFonts w:asciiTheme="majorHAnsi" w:hAnsiTheme="majorHAnsi" w:cstheme="majorHAnsi"/>
                <w:lang w:val="fr-FR"/>
              </w:rPr>
              <w:t xml:space="preserve"> financement</w:t>
            </w:r>
            <w:r>
              <w:rPr>
                <w:rFonts w:asciiTheme="majorHAnsi" w:hAnsiTheme="majorHAnsi" w:cstheme="majorHAnsi"/>
                <w:lang w:val="fr-FR"/>
              </w:rPr>
              <w:t>s</w:t>
            </w:r>
          </w:p>
        </w:tc>
        <w:tc>
          <w:tcPr>
            <w:tcW w:w="1019" w:type="dxa"/>
          </w:tcPr>
          <w:p w14:paraId="2AECCEE7" w14:textId="77777777" w:rsidR="00C03EC4" w:rsidRPr="002E75D4" w:rsidRDefault="00C03EC4" w:rsidP="000D6136">
            <w:pPr>
              <w:spacing w:before="120" w:after="40"/>
              <w:ind w:right="-105"/>
              <w:jc w:val="both"/>
              <w:rPr>
                <w:rFonts w:asciiTheme="majorHAnsi" w:hAnsiTheme="majorHAnsi" w:cstheme="majorHAnsi"/>
              </w:rPr>
            </w:pPr>
            <w:r w:rsidRPr="002E75D4">
              <w:rPr>
                <w:rFonts w:asciiTheme="majorHAnsi" w:hAnsiTheme="majorHAnsi" w:cstheme="majorHAnsi"/>
              </w:rPr>
              <w:t>7</w:t>
            </w:r>
            <w:r>
              <w:rPr>
                <w:rFonts w:asciiTheme="majorHAnsi" w:hAnsiTheme="majorHAnsi" w:cstheme="majorHAnsi"/>
              </w:rPr>
              <w:t>4</w:t>
            </w:r>
          </w:p>
        </w:tc>
      </w:tr>
      <w:tr w:rsidR="00C03EC4" w:rsidRPr="002E75D4" w14:paraId="63AB21E4" w14:textId="77777777" w:rsidTr="000D6136">
        <w:trPr>
          <w:gridBefore w:val="1"/>
          <w:wBefore w:w="709" w:type="dxa"/>
        </w:trPr>
        <w:tc>
          <w:tcPr>
            <w:tcW w:w="8647" w:type="dxa"/>
          </w:tcPr>
          <w:p w14:paraId="415DD0EB" w14:textId="77777777" w:rsidR="00C03EC4" w:rsidRPr="002E75D4" w:rsidRDefault="00C03EC4" w:rsidP="000D6136">
            <w:pPr>
              <w:spacing w:before="120" w:after="40"/>
              <w:jc w:val="both"/>
              <w:rPr>
                <w:rFonts w:asciiTheme="majorHAnsi" w:hAnsiTheme="majorHAnsi" w:cstheme="majorHAnsi"/>
                <w:lang w:val="fr-FR"/>
              </w:rPr>
            </w:pPr>
            <w:r w:rsidRPr="002E75D4">
              <w:rPr>
                <w:rFonts w:asciiTheme="majorHAnsi" w:hAnsiTheme="majorHAnsi" w:cstheme="majorHAnsi"/>
                <w:lang w:val="fr-FR"/>
              </w:rPr>
              <w:t xml:space="preserve">6.2.     </w:t>
            </w:r>
            <w:r w:rsidRPr="00F55CD5">
              <w:rPr>
                <w:rFonts w:asciiTheme="majorHAnsi" w:hAnsiTheme="majorHAnsi" w:cstheme="majorHAnsi"/>
                <w:lang w:val="fr-FR"/>
              </w:rPr>
              <w:t>Transfert de technologies</w:t>
            </w:r>
          </w:p>
        </w:tc>
        <w:tc>
          <w:tcPr>
            <w:tcW w:w="1019" w:type="dxa"/>
          </w:tcPr>
          <w:p w14:paraId="4724A3C2" w14:textId="77777777" w:rsidR="00C03EC4" w:rsidRPr="002E75D4" w:rsidRDefault="00C03EC4" w:rsidP="000D6136">
            <w:pPr>
              <w:spacing w:before="120" w:after="40"/>
              <w:ind w:right="-105"/>
              <w:jc w:val="both"/>
              <w:rPr>
                <w:rFonts w:asciiTheme="majorHAnsi" w:hAnsiTheme="majorHAnsi" w:cstheme="majorHAnsi"/>
              </w:rPr>
            </w:pPr>
            <w:r w:rsidRPr="002E75D4">
              <w:rPr>
                <w:rFonts w:asciiTheme="majorHAnsi" w:hAnsiTheme="majorHAnsi" w:cstheme="majorHAnsi"/>
              </w:rPr>
              <w:t>7</w:t>
            </w:r>
            <w:r>
              <w:rPr>
                <w:rFonts w:asciiTheme="majorHAnsi" w:hAnsiTheme="majorHAnsi" w:cstheme="majorHAnsi"/>
              </w:rPr>
              <w:t>5</w:t>
            </w:r>
          </w:p>
        </w:tc>
      </w:tr>
      <w:tr w:rsidR="00C03EC4" w:rsidRPr="002E75D4" w14:paraId="25354055" w14:textId="77777777" w:rsidTr="000D6136">
        <w:trPr>
          <w:gridBefore w:val="1"/>
          <w:wBefore w:w="709" w:type="dxa"/>
        </w:trPr>
        <w:tc>
          <w:tcPr>
            <w:tcW w:w="8647" w:type="dxa"/>
          </w:tcPr>
          <w:p w14:paraId="37400E8E" w14:textId="77777777" w:rsidR="00C03EC4" w:rsidRPr="00F55CD5" w:rsidRDefault="00C03EC4" w:rsidP="000D6136">
            <w:pPr>
              <w:spacing w:before="120" w:after="40"/>
              <w:jc w:val="both"/>
              <w:rPr>
                <w:rFonts w:asciiTheme="majorHAnsi" w:hAnsiTheme="majorHAnsi" w:cstheme="majorHAnsi"/>
                <w:lang w:val="fr-FR"/>
              </w:rPr>
            </w:pPr>
            <w:r w:rsidRPr="00F55CD5">
              <w:rPr>
                <w:rFonts w:asciiTheme="majorHAnsi" w:hAnsiTheme="majorHAnsi" w:cstheme="majorHAnsi"/>
                <w:lang w:val="fr-FR"/>
              </w:rPr>
              <w:t xml:space="preserve">6.3.     </w:t>
            </w:r>
            <w:r w:rsidRPr="002E75D4">
              <w:rPr>
                <w:rFonts w:asciiTheme="majorHAnsi" w:hAnsiTheme="majorHAnsi" w:cstheme="majorHAnsi"/>
                <w:lang w:val="fr-FR"/>
              </w:rPr>
              <w:t>Renforcement des capacités des acteurs</w:t>
            </w:r>
          </w:p>
        </w:tc>
        <w:tc>
          <w:tcPr>
            <w:tcW w:w="1019" w:type="dxa"/>
          </w:tcPr>
          <w:p w14:paraId="2F7B388D" w14:textId="77777777" w:rsidR="00C03EC4" w:rsidRPr="002E75D4" w:rsidRDefault="00C03EC4" w:rsidP="000D6136">
            <w:pPr>
              <w:spacing w:before="120" w:after="40"/>
              <w:ind w:right="-105"/>
              <w:jc w:val="both"/>
              <w:rPr>
                <w:rFonts w:asciiTheme="majorHAnsi" w:hAnsiTheme="majorHAnsi" w:cstheme="majorHAnsi"/>
              </w:rPr>
            </w:pPr>
            <w:r w:rsidRPr="002E75D4">
              <w:rPr>
                <w:rFonts w:asciiTheme="majorHAnsi" w:hAnsiTheme="majorHAnsi" w:cstheme="majorHAnsi"/>
              </w:rPr>
              <w:t>7</w:t>
            </w:r>
            <w:r>
              <w:rPr>
                <w:rFonts w:asciiTheme="majorHAnsi" w:hAnsiTheme="majorHAnsi" w:cstheme="majorHAnsi"/>
              </w:rPr>
              <w:t>6</w:t>
            </w:r>
          </w:p>
        </w:tc>
      </w:tr>
      <w:tr w:rsidR="00C03EC4" w:rsidRPr="002E75D4" w14:paraId="36C60839" w14:textId="77777777" w:rsidTr="000D6136">
        <w:trPr>
          <w:gridBefore w:val="1"/>
          <w:wBefore w:w="709" w:type="dxa"/>
        </w:trPr>
        <w:tc>
          <w:tcPr>
            <w:tcW w:w="8647" w:type="dxa"/>
          </w:tcPr>
          <w:p w14:paraId="06F1BED2" w14:textId="77777777" w:rsidR="00C03EC4" w:rsidRPr="002E75D4" w:rsidRDefault="00C03EC4" w:rsidP="000D6136">
            <w:pPr>
              <w:spacing w:before="120" w:after="40"/>
              <w:jc w:val="both"/>
              <w:rPr>
                <w:rFonts w:asciiTheme="majorHAnsi" w:hAnsiTheme="majorHAnsi" w:cstheme="majorHAnsi"/>
                <w:lang w:val="fr-FR"/>
              </w:rPr>
            </w:pPr>
            <w:r w:rsidRPr="002E75D4">
              <w:rPr>
                <w:rFonts w:asciiTheme="majorHAnsi" w:hAnsiTheme="majorHAnsi" w:cstheme="majorHAnsi"/>
                <w:lang w:val="fr-FR"/>
              </w:rPr>
              <w:t xml:space="preserve">6.4.     </w:t>
            </w:r>
            <w:r w:rsidRPr="002E75D4">
              <w:rPr>
                <w:rFonts w:asciiTheme="majorHAnsi" w:hAnsiTheme="majorHAnsi" w:cstheme="majorHAnsi"/>
                <w:szCs w:val="28"/>
                <w:lang w:val="fr-FR"/>
              </w:rPr>
              <w:t>Cadre de gestion et amélioration institutionnelle pour le suivi de la CDN</w:t>
            </w:r>
          </w:p>
        </w:tc>
        <w:tc>
          <w:tcPr>
            <w:tcW w:w="1019" w:type="dxa"/>
          </w:tcPr>
          <w:p w14:paraId="03322BC6" w14:textId="77777777" w:rsidR="00C03EC4" w:rsidRPr="002E75D4" w:rsidRDefault="00C03EC4" w:rsidP="000D6136">
            <w:pPr>
              <w:spacing w:before="120" w:after="40"/>
              <w:ind w:right="-105"/>
              <w:jc w:val="both"/>
              <w:rPr>
                <w:rFonts w:asciiTheme="majorHAnsi" w:hAnsiTheme="majorHAnsi" w:cstheme="majorHAnsi"/>
              </w:rPr>
            </w:pPr>
            <w:r w:rsidRPr="002E75D4">
              <w:rPr>
                <w:rFonts w:asciiTheme="majorHAnsi" w:hAnsiTheme="majorHAnsi" w:cstheme="majorHAnsi"/>
              </w:rPr>
              <w:t>7</w:t>
            </w:r>
            <w:r>
              <w:rPr>
                <w:rFonts w:asciiTheme="majorHAnsi" w:hAnsiTheme="majorHAnsi" w:cstheme="majorHAnsi"/>
              </w:rPr>
              <w:t>7</w:t>
            </w:r>
          </w:p>
        </w:tc>
      </w:tr>
      <w:tr w:rsidR="00C03EC4" w:rsidRPr="002E75D4" w14:paraId="5A03F67D" w14:textId="77777777" w:rsidTr="000D6136">
        <w:trPr>
          <w:gridBefore w:val="1"/>
          <w:wBefore w:w="709" w:type="dxa"/>
        </w:trPr>
        <w:tc>
          <w:tcPr>
            <w:tcW w:w="8647" w:type="dxa"/>
          </w:tcPr>
          <w:p w14:paraId="66363C83" w14:textId="77777777" w:rsidR="00C03EC4" w:rsidRPr="002E75D4" w:rsidRDefault="00C03EC4" w:rsidP="000D6136">
            <w:pPr>
              <w:spacing w:before="120" w:after="40"/>
              <w:jc w:val="both"/>
              <w:rPr>
                <w:rFonts w:asciiTheme="majorHAnsi" w:hAnsiTheme="majorHAnsi" w:cstheme="majorHAnsi"/>
                <w:szCs w:val="28"/>
                <w:lang w:val="fr-FR"/>
              </w:rPr>
            </w:pPr>
            <w:r w:rsidRPr="002E75D4">
              <w:rPr>
                <w:rFonts w:asciiTheme="majorHAnsi" w:hAnsiTheme="majorHAnsi" w:cstheme="majorHAnsi"/>
                <w:szCs w:val="28"/>
                <w:lang w:val="fr-FR"/>
              </w:rPr>
              <w:t xml:space="preserve">6.5.     </w:t>
            </w:r>
            <w:r w:rsidRPr="002E75D4">
              <w:rPr>
                <w:rFonts w:asciiTheme="majorHAnsi" w:hAnsiTheme="majorHAnsi" w:cstheme="majorHAnsi"/>
                <w:szCs w:val="24"/>
                <w:lang w:val="fr-FR"/>
              </w:rPr>
              <w:t>Orientations pour la création du dispositif de Mesure Rapportage et Vérification</w:t>
            </w:r>
          </w:p>
        </w:tc>
        <w:tc>
          <w:tcPr>
            <w:tcW w:w="1019" w:type="dxa"/>
          </w:tcPr>
          <w:p w14:paraId="49BC5B36" w14:textId="77777777" w:rsidR="00C03EC4" w:rsidRPr="002E75D4" w:rsidRDefault="00C03EC4" w:rsidP="000D6136">
            <w:pPr>
              <w:spacing w:before="120" w:after="40"/>
              <w:ind w:right="-105"/>
              <w:jc w:val="both"/>
              <w:rPr>
                <w:rFonts w:asciiTheme="majorHAnsi" w:hAnsiTheme="majorHAnsi" w:cstheme="majorHAnsi"/>
              </w:rPr>
            </w:pPr>
            <w:r w:rsidRPr="002E75D4">
              <w:rPr>
                <w:rFonts w:asciiTheme="majorHAnsi" w:hAnsiTheme="majorHAnsi" w:cstheme="majorHAnsi"/>
              </w:rPr>
              <w:t>7</w:t>
            </w:r>
            <w:r>
              <w:rPr>
                <w:rFonts w:asciiTheme="majorHAnsi" w:hAnsiTheme="majorHAnsi" w:cstheme="majorHAnsi"/>
              </w:rPr>
              <w:t>8</w:t>
            </w:r>
          </w:p>
        </w:tc>
      </w:tr>
      <w:tr w:rsidR="00C03EC4" w:rsidRPr="002E75D4" w14:paraId="5E65FAEA" w14:textId="77777777" w:rsidTr="000D6136">
        <w:trPr>
          <w:gridBefore w:val="1"/>
          <w:wBefore w:w="709" w:type="dxa"/>
        </w:trPr>
        <w:tc>
          <w:tcPr>
            <w:tcW w:w="8647" w:type="dxa"/>
          </w:tcPr>
          <w:p w14:paraId="65140B60" w14:textId="77777777" w:rsidR="00C03EC4" w:rsidRPr="002E75D4" w:rsidRDefault="00C03EC4" w:rsidP="000D6136">
            <w:pPr>
              <w:spacing w:before="120" w:after="40"/>
              <w:jc w:val="both"/>
              <w:rPr>
                <w:rFonts w:asciiTheme="majorHAnsi" w:hAnsiTheme="majorHAnsi" w:cstheme="majorHAnsi"/>
                <w:lang w:val="fr-FR"/>
              </w:rPr>
            </w:pPr>
            <w:r w:rsidRPr="002E75D4">
              <w:rPr>
                <w:rFonts w:asciiTheme="majorHAnsi" w:hAnsiTheme="majorHAnsi" w:cstheme="majorHAnsi"/>
                <w:lang w:val="fr-FR"/>
              </w:rPr>
              <w:t>6.6.     Indicateurs de suivi de la CDN et alignement sur les ODD</w:t>
            </w:r>
          </w:p>
        </w:tc>
        <w:tc>
          <w:tcPr>
            <w:tcW w:w="1019" w:type="dxa"/>
          </w:tcPr>
          <w:p w14:paraId="4D054647" w14:textId="77777777" w:rsidR="00C03EC4" w:rsidRPr="002E75D4" w:rsidRDefault="00C03EC4" w:rsidP="000D6136">
            <w:pPr>
              <w:spacing w:before="120" w:after="40"/>
              <w:ind w:right="-105"/>
              <w:jc w:val="both"/>
              <w:rPr>
                <w:rFonts w:asciiTheme="majorHAnsi" w:hAnsiTheme="majorHAnsi" w:cstheme="majorHAnsi"/>
              </w:rPr>
            </w:pPr>
            <w:r>
              <w:rPr>
                <w:rFonts w:asciiTheme="majorHAnsi" w:hAnsiTheme="majorHAnsi" w:cstheme="majorHAnsi"/>
              </w:rPr>
              <w:t>81</w:t>
            </w:r>
          </w:p>
        </w:tc>
      </w:tr>
      <w:tr w:rsidR="00C03EC4" w:rsidRPr="002E75D4" w14:paraId="3D974F21" w14:textId="77777777" w:rsidTr="000D6136">
        <w:tc>
          <w:tcPr>
            <w:tcW w:w="9356" w:type="dxa"/>
            <w:gridSpan w:val="2"/>
          </w:tcPr>
          <w:p w14:paraId="0957DD25" w14:textId="77777777" w:rsidR="00C03EC4" w:rsidRPr="002E75D4" w:rsidRDefault="00C03EC4" w:rsidP="000D6136">
            <w:pPr>
              <w:spacing w:before="120" w:after="40"/>
              <w:jc w:val="both"/>
              <w:rPr>
                <w:rFonts w:cstheme="minorHAnsi"/>
                <w:b/>
              </w:rPr>
            </w:pPr>
            <w:r w:rsidRPr="002E75D4">
              <w:rPr>
                <w:rFonts w:cstheme="minorHAnsi"/>
                <w:b/>
              </w:rPr>
              <w:t>CONCLUSION</w:t>
            </w:r>
          </w:p>
        </w:tc>
        <w:tc>
          <w:tcPr>
            <w:tcW w:w="1019" w:type="dxa"/>
          </w:tcPr>
          <w:p w14:paraId="0ACB8AC5" w14:textId="77777777" w:rsidR="00C03EC4" w:rsidRPr="002E75D4" w:rsidRDefault="00C03EC4" w:rsidP="000D6136">
            <w:pPr>
              <w:spacing w:before="120" w:after="40"/>
              <w:jc w:val="both"/>
              <w:rPr>
                <w:rFonts w:cstheme="minorHAnsi"/>
                <w:b/>
              </w:rPr>
            </w:pPr>
            <w:r w:rsidRPr="002E75D4">
              <w:rPr>
                <w:rFonts w:cstheme="minorHAnsi"/>
                <w:b/>
              </w:rPr>
              <w:t>8</w:t>
            </w:r>
            <w:r>
              <w:rPr>
                <w:rFonts w:cstheme="minorHAnsi"/>
                <w:b/>
              </w:rPr>
              <w:t>5</w:t>
            </w:r>
          </w:p>
        </w:tc>
      </w:tr>
      <w:tr w:rsidR="00C03EC4" w:rsidRPr="002E75D4" w14:paraId="4AEDCABA" w14:textId="77777777" w:rsidTr="000D6136">
        <w:tc>
          <w:tcPr>
            <w:tcW w:w="9356" w:type="dxa"/>
            <w:gridSpan w:val="2"/>
          </w:tcPr>
          <w:p w14:paraId="70C37B3A" w14:textId="77777777" w:rsidR="00C03EC4" w:rsidRPr="002E75D4" w:rsidRDefault="00C03EC4" w:rsidP="000D6136">
            <w:pPr>
              <w:spacing w:before="120" w:after="40"/>
              <w:jc w:val="both"/>
              <w:rPr>
                <w:rFonts w:asciiTheme="majorHAnsi" w:hAnsiTheme="majorHAnsi" w:cstheme="majorHAnsi"/>
                <w:lang w:val="fr-FR"/>
              </w:rPr>
            </w:pPr>
            <w:r w:rsidRPr="002E75D4">
              <w:rPr>
                <w:rFonts w:cstheme="minorHAnsi"/>
                <w:b/>
                <w:lang w:val="fr-FR"/>
              </w:rPr>
              <w:t>ANNEXE :</w:t>
            </w:r>
            <w:r w:rsidRPr="002E75D4">
              <w:rPr>
                <w:rFonts w:asciiTheme="majorHAnsi" w:hAnsiTheme="majorHAnsi" w:cstheme="majorHAnsi"/>
                <w:lang w:val="fr-FR"/>
              </w:rPr>
              <w:t xml:space="preserve"> Informations sur la clarté, la transparence et la compréhension de la CDN</w:t>
            </w:r>
          </w:p>
        </w:tc>
        <w:tc>
          <w:tcPr>
            <w:tcW w:w="1019" w:type="dxa"/>
          </w:tcPr>
          <w:p w14:paraId="165B62E6" w14:textId="77777777" w:rsidR="00C03EC4" w:rsidRPr="002E75D4" w:rsidRDefault="00C03EC4" w:rsidP="000D6136">
            <w:pPr>
              <w:spacing w:before="120" w:after="40"/>
              <w:jc w:val="both"/>
              <w:rPr>
                <w:rFonts w:cstheme="minorHAnsi"/>
              </w:rPr>
            </w:pPr>
            <w:r w:rsidRPr="002E75D4">
              <w:rPr>
                <w:rFonts w:cstheme="minorHAnsi"/>
              </w:rPr>
              <w:t>8</w:t>
            </w:r>
            <w:r>
              <w:rPr>
                <w:rFonts w:cstheme="minorHAnsi"/>
              </w:rPr>
              <w:t>6</w:t>
            </w:r>
          </w:p>
        </w:tc>
      </w:tr>
    </w:tbl>
    <w:p w14:paraId="1F870BC0" w14:textId="77777777" w:rsidR="00C03EC4" w:rsidRPr="002E75D4" w:rsidRDefault="00C03EC4" w:rsidP="00C03EC4">
      <w:pPr>
        <w:spacing w:after="0"/>
        <w:jc w:val="both"/>
        <w:rPr>
          <w:rFonts w:asciiTheme="majorHAnsi" w:hAnsiTheme="majorHAnsi" w:cstheme="majorHAnsi"/>
          <w:sz w:val="24"/>
          <w:szCs w:val="24"/>
        </w:rPr>
      </w:pPr>
    </w:p>
    <w:p w14:paraId="1ADA97D9" w14:textId="77777777" w:rsidR="00C03EC4" w:rsidRPr="002E75D4" w:rsidRDefault="00C03EC4" w:rsidP="00C03EC4">
      <w:pPr>
        <w:spacing w:after="0"/>
        <w:jc w:val="both"/>
        <w:rPr>
          <w:rFonts w:asciiTheme="majorHAnsi" w:hAnsiTheme="majorHAnsi" w:cstheme="majorHAnsi"/>
          <w:sz w:val="24"/>
          <w:szCs w:val="24"/>
        </w:rPr>
      </w:pPr>
    </w:p>
    <w:p w14:paraId="4F00242B" w14:textId="77777777" w:rsidR="00C03EC4" w:rsidRPr="002E75D4" w:rsidRDefault="00C03EC4" w:rsidP="00C03EC4">
      <w:pPr>
        <w:spacing w:after="0"/>
        <w:jc w:val="both"/>
        <w:rPr>
          <w:rFonts w:asciiTheme="majorHAnsi" w:hAnsiTheme="majorHAnsi" w:cstheme="majorHAnsi"/>
          <w:sz w:val="24"/>
          <w:szCs w:val="24"/>
        </w:rPr>
      </w:pPr>
    </w:p>
    <w:p w14:paraId="53785246" w14:textId="77777777" w:rsidR="00C03EC4" w:rsidRPr="002E75D4" w:rsidRDefault="00C03EC4" w:rsidP="00C03EC4">
      <w:pPr>
        <w:spacing w:after="0"/>
        <w:jc w:val="both"/>
        <w:rPr>
          <w:rFonts w:asciiTheme="majorHAnsi" w:hAnsiTheme="majorHAnsi" w:cstheme="majorHAnsi"/>
          <w:sz w:val="24"/>
          <w:szCs w:val="24"/>
        </w:rPr>
      </w:pPr>
    </w:p>
    <w:p w14:paraId="49F91A4D" w14:textId="77777777" w:rsidR="00C03EC4" w:rsidRPr="002E75D4" w:rsidRDefault="00C03EC4" w:rsidP="00C03EC4">
      <w:pPr>
        <w:spacing w:after="0"/>
        <w:jc w:val="both"/>
        <w:rPr>
          <w:rFonts w:asciiTheme="majorHAnsi" w:hAnsiTheme="majorHAnsi" w:cstheme="majorHAnsi"/>
          <w:sz w:val="24"/>
          <w:szCs w:val="24"/>
        </w:rPr>
      </w:pPr>
    </w:p>
    <w:p w14:paraId="7472D1C3" w14:textId="77777777" w:rsidR="00C03EC4" w:rsidRPr="002E75D4" w:rsidRDefault="00C03EC4" w:rsidP="00C03EC4">
      <w:pPr>
        <w:spacing w:after="0"/>
        <w:jc w:val="both"/>
        <w:rPr>
          <w:rFonts w:asciiTheme="majorHAnsi" w:hAnsiTheme="majorHAnsi" w:cstheme="majorHAnsi"/>
          <w:sz w:val="24"/>
          <w:szCs w:val="24"/>
        </w:rPr>
      </w:pPr>
    </w:p>
    <w:p w14:paraId="73E62537" w14:textId="77777777" w:rsidR="00C03EC4" w:rsidRPr="002E75D4" w:rsidRDefault="00C03EC4" w:rsidP="00C03EC4">
      <w:pPr>
        <w:spacing w:after="0"/>
        <w:jc w:val="both"/>
        <w:rPr>
          <w:rFonts w:asciiTheme="majorHAnsi" w:hAnsiTheme="majorHAnsi" w:cstheme="majorHAnsi"/>
          <w:sz w:val="48"/>
          <w:szCs w:val="48"/>
        </w:rPr>
      </w:pPr>
    </w:p>
    <w:p w14:paraId="5F2EA717" w14:textId="77777777" w:rsidR="00C03EC4" w:rsidRPr="002E75D4" w:rsidRDefault="00C03EC4" w:rsidP="00C03EC4">
      <w:pPr>
        <w:spacing w:after="0"/>
        <w:jc w:val="both"/>
        <w:rPr>
          <w:rFonts w:asciiTheme="majorHAnsi" w:hAnsiTheme="majorHAnsi" w:cstheme="majorHAnsi"/>
          <w:sz w:val="48"/>
          <w:szCs w:val="48"/>
        </w:rPr>
      </w:pPr>
    </w:p>
    <w:p w14:paraId="1BCCFDCA" w14:textId="77777777" w:rsidR="00C03EC4" w:rsidRPr="002E75D4" w:rsidRDefault="00C03EC4" w:rsidP="00C03EC4">
      <w:pPr>
        <w:spacing w:after="0"/>
        <w:jc w:val="both"/>
        <w:rPr>
          <w:rFonts w:asciiTheme="majorHAnsi" w:hAnsiTheme="majorHAnsi" w:cstheme="majorHAnsi"/>
          <w:sz w:val="48"/>
          <w:szCs w:val="48"/>
        </w:rPr>
      </w:pPr>
    </w:p>
    <w:p w14:paraId="2230FF75" w14:textId="77777777" w:rsidR="00C03EC4" w:rsidRDefault="00C03EC4" w:rsidP="00C03EC4">
      <w:pPr>
        <w:spacing w:after="0"/>
        <w:jc w:val="both"/>
        <w:rPr>
          <w:rFonts w:asciiTheme="majorHAnsi" w:hAnsiTheme="majorHAnsi" w:cstheme="majorHAnsi"/>
          <w:sz w:val="48"/>
          <w:szCs w:val="48"/>
        </w:rPr>
      </w:pPr>
    </w:p>
    <w:p w14:paraId="4CC4F382" w14:textId="77777777" w:rsidR="00C03EC4" w:rsidRPr="00F24A9E" w:rsidRDefault="00C03EC4" w:rsidP="00C03EC4">
      <w:pPr>
        <w:spacing w:after="0"/>
        <w:jc w:val="both"/>
        <w:rPr>
          <w:rFonts w:asciiTheme="majorHAnsi" w:hAnsiTheme="majorHAnsi" w:cstheme="majorHAnsi"/>
          <w:b/>
          <w:sz w:val="36"/>
          <w:szCs w:val="36"/>
        </w:rPr>
      </w:pPr>
      <w:r w:rsidRPr="00F24A9E">
        <w:rPr>
          <w:rFonts w:asciiTheme="majorHAnsi" w:hAnsiTheme="majorHAnsi" w:cstheme="majorHAnsi"/>
          <w:b/>
          <w:sz w:val="36"/>
          <w:szCs w:val="36"/>
        </w:rPr>
        <w:t>SIGLES ET ACRONYMES</w:t>
      </w:r>
    </w:p>
    <w:tbl>
      <w:tblPr>
        <w:tblStyle w:val="Listeclaire"/>
        <w:tblpPr w:leftFromText="141" w:rightFromText="141" w:vertAnchor="text" w:tblpXSpec="center" w:tblpY="254"/>
        <w:tblW w:w="5000" w:type="pct"/>
        <w:jc w:val="center"/>
        <w:tblBorders>
          <w:top w:val="none" w:sz="0" w:space="0" w:color="auto"/>
          <w:left w:val="none" w:sz="0" w:space="0" w:color="auto"/>
          <w:bottom w:val="none" w:sz="0" w:space="0" w:color="auto"/>
          <w:right w:val="none" w:sz="0" w:space="0" w:color="auto"/>
        </w:tblBorders>
        <w:tblLook w:val="0680" w:firstRow="0" w:lastRow="0" w:firstColumn="1" w:lastColumn="0" w:noHBand="1" w:noVBand="1"/>
      </w:tblPr>
      <w:tblGrid>
        <w:gridCol w:w="1330"/>
        <w:gridCol w:w="8309"/>
      </w:tblGrid>
      <w:tr w:rsidR="00C03EC4" w:rsidRPr="002E75D4" w14:paraId="38C88610"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3ABEB16C" w14:textId="77777777" w:rsidR="00C03EC4" w:rsidRPr="002E75D4" w:rsidRDefault="00C03EC4" w:rsidP="000D6136">
            <w:pPr>
              <w:jc w:val="right"/>
              <w:rPr>
                <w:rFonts w:cstheme="minorHAnsi"/>
                <w:szCs w:val="24"/>
              </w:rPr>
            </w:pPr>
            <w:r w:rsidRPr="002E75D4">
              <w:rPr>
                <w:rFonts w:cstheme="minorHAnsi"/>
                <w:szCs w:val="24"/>
              </w:rPr>
              <w:t>AEDD</w:t>
            </w:r>
          </w:p>
        </w:tc>
        <w:tc>
          <w:tcPr>
            <w:tcW w:w="4310" w:type="pct"/>
          </w:tcPr>
          <w:p w14:paraId="40A944FD"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 xml:space="preserve">Agence de l’Environnement et du Développement Durable </w:t>
            </w:r>
          </w:p>
        </w:tc>
      </w:tr>
      <w:tr w:rsidR="00C03EC4" w:rsidRPr="002E75D4" w14:paraId="38D56914"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7FCBD9B8" w14:textId="77777777" w:rsidR="00C03EC4" w:rsidRPr="002E75D4" w:rsidRDefault="00C03EC4" w:rsidP="000D6136">
            <w:pPr>
              <w:jc w:val="right"/>
              <w:rPr>
                <w:rFonts w:cstheme="minorHAnsi"/>
                <w:szCs w:val="24"/>
              </w:rPr>
            </w:pPr>
            <w:r w:rsidRPr="002E75D4">
              <w:rPr>
                <w:rFonts w:cstheme="minorHAnsi"/>
                <w:szCs w:val="24"/>
              </w:rPr>
              <w:t>AFAT</w:t>
            </w:r>
          </w:p>
        </w:tc>
        <w:tc>
          <w:tcPr>
            <w:tcW w:w="4310" w:type="pct"/>
          </w:tcPr>
          <w:p w14:paraId="4A6C53BD"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Agriculture, Forêt et Affectation des Terres</w:t>
            </w:r>
          </w:p>
        </w:tc>
      </w:tr>
      <w:tr w:rsidR="00C03EC4" w:rsidRPr="002E75D4" w14:paraId="23EE1793"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E2D01EC" w14:textId="77777777" w:rsidR="00C03EC4" w:rsidRPr="002E75D4" w:rsidRDefault="00C03EC4" w:rsidP="000D6136">
            <w:pPr>
              <w:jc w:val="right"/>
              <w:rPr>
                <w:rFonts w:cstheme="minorHAnsi"/>
                <w:szCs w:val="24"/>
              </w:rPr>
            </w:pPr>
            <w:r w:rsidRPr="002E75D4">
              <w:rPr>
                <w:rFonts w:cstheme="minorHAnsi"/>
                <w:szCs w:val="24"/>
              </w:rPr>
              <w:t>AGCC</w:t>
            </w:r>
          </w:p>
        </w:tc>
        <w:tc>
          <w:tcPr>
            <w:tcW w:w="4310" w:type="pct"/>
          </w:tcPr>
          <w:p w14:paraId="4FAFBCE2" w14:textId="77777777" w:rsidR="00C03EC4" w:rsidRPr="002E75D4" w:rsidRDefault="00C03EC4" w:rsidP="000D6136">
            <w:pPr>
              <w:spacing w:after="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Alliance Globale sur les Changements Climatiques</w:t>
            </w:r>
          </w:p>
        </w:tc>
      </w:tr>
      <w:tr w:rsidR="00C03EC4" w:rsidRPr="002E75D4" w14:paraId="68A4AC6E"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00B2458" w14:textId="77777777" w:rsidR="00C03EC4" w:rsidRPr="002E75D4" w:rsidRDefault="00C03EC4" w:rsidP="000D6136">
            <w:pPr>
              <w:jc w:val="right"/>
              <w:rPr>
                <w:rFonts w:cstheme="minorHAnsi"/>
                <w:szCs w:val="24"/>
              </w:rPr>
            </w:pPr>
            <w:r w:rsidRPr="002E75D4">
              <w:rPr>
                <w:rFonts w:cstheme="minorHAnsi"/>
                <w:szCs w:val="24"/>
              </w:rPr>
              <w:t>AMM</w:t>
            </w:r>
          </w:p>
        </w:tc>
        <w:tc>
          <w:tcPr>
            <w:tcW w:w="4310" w:type="pct"/>
          </w:tcPr>
          <w:p w14:paraId="467DF17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Association des Municipalités du Mali</w:t>
            </w:r>
          </w:p>
        </w:tc>
      </w:tr>
      <w:tr w:rsidR="00C03EC4" w:rsidRPr="002E75D4" w14:paraId="06C62B5A"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077F5C5" w14:textId="77777777" w:rsidR="00C03EC4" w:rsidRPr="002E75D4" w:rsidRDefault="00C03EC4" w:rsidP="000D6136">
            <w:pPr>
              <w:jc w:val="right"/>
              <w:rPr>
                <w:rFonts w:cstheme="minorHAnsi"/>
                <w:szCs w:val="24"/>
              </w:rPr>
            </w:pPr>
            <w:r w:rsidRPr="002E75D4">
              <w:rPr>
                <w:rFonts w:cstheme="minorHAnsi"/>
                <w:szCs w:val="24"/>
              </w:rPr>
              <w:t>AMADER</w:t>
            </w:r>
          </w:p>
        </w:tc>
        <w:tc>
          <w:tcPr>
            <w:tcW w:w="4310" w:type="pct"/>
          </w:tcPr>
          <w:p w14:paraId="651C3911"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lang w:bidi="fr-FR"/>
              </w:rPr>
              <w:t>Agence Malienne pour le Développement des Energies Domestiques et de l’Electrification Rurale</w:t>
            </w:r>
          </w:p>
        </w:tc>
      </w:tr>
      <w:tr w:rsidR="00C03EC4" w:rsidRPr="002E75D4" w14:paraId="006F2EF6"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7B79DDEE" w14:textId="77777777" w:rsidR="00C03EC4" w:rsidRPr="002E75D4" w:rsidRDefault="00C03EC4" w:rsidP="000D6136">
            <w:pPr>
              <w:jc w:val="right"/>
              <w:rPr>
                <w:rFonts w:cstheme="minorHAnsi"/>
                <w:szCs w:val="24"/>
              </w:rPr>
            </w:pPr>
            <w:r w:rsidRPr="002E75D4">
              <w:rPr>
                <w:rFonts w:cstheme="minorHAnsi"/>
                <w:szCs w:val="24"/>
              </w:rPr>
              <w:t>ANADEB</w:t>
            </w:r>
          </w:p>
        </w:tc>
        <w:tc>
          <w:tcPr>
            <w:tcW w:w="4310" w:type="pct"/>
          </w:tcPr>
          <w:p w14:paraId="0D43E32F"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A</w:t>
            </w:r>
            <w:r w:rsidRPr="002E75D4">
              <w:rPr>
                <w:rFonts w:asciiTheme="majorHAnsi" w:hAnsiTheme="majorHAnsi" w:cstheme="majorHAnsi"/>
                <w:szCs w:val="24"/>
                <w:lang w:bidi="fr-FR"/>
              </w:rPr>
              <w:t>gence Nationale du Développement des Biocarburants</w:t>
            </w:r>
          </w:p>
        </w:tc>
      </w:tr>
      <w:tr w:rsidR="00C03EC4" w:rsidRPr="002E75D4" w14:paraId="572AE8F9"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44693F46" w14:textId="77777777" w:rsidR="00C03EC4" w:rsidRPr="002E75D4" w:rsidRDefault="00C03EC4" w:rsidP="000D6136">
            <w:pPr>
              <w:jc w:val="right"/>
              <w:rPr>
                <w:rFonts w:cstheme="minorHAnsi"/>
                <w:szCs w:val="24"/>
              </w:rPr>
            </w:pPr>
            <w:r w:rsidRPr="002E75D4">
              <w:rPr>
                <w:rFonts w:cstheme="minorHAnsi"/>
                <w:szCs w:val="24"/>
              </w:rPr>
              <w:t>ANICT</w:t>
            </w:r>
          </w:p>
        </w:tc>
        <w:tc>
          <w:tcPr>
            <w:tcW w:w="4310" w:type="pct"/>
          </w:tcPr>
          <w:p w14:paraId="14AD4B35" w14:textId="77777777" w:rsidR="00C03EC4" w:rsidRPr="002E75D4" w:rsidRDefault="00C03EC4" w:rsidP="000D6136">
            <w:pPr>
              <w:spacing w:after="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Agence Nationale d’Investissement pour les Collectivités Territoriales</w:t>
            </w:r>
          </w:p>
        </w:tc>
      </w:tr>
      <w:tr w:rsidR="00C03EC4" w:rsidRPr="002E75D4" w14:paraId="69ECB472"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2438858E" w14:textId="77777777" w:rsidR="00C03EC4" w:rsidRPr="002E75D4" w:rsidRDefault="00C03EC4" w:rsidP="000D6136">
            <w:pPr>
              <w:jc w:val="right"/>
              <w:rPr>
                <w:rFonts w:cstheme="minorHAnsi"/>
                <w:szCs w:val="24"/>
              </w:rPr>
            </w:pPr>
            <w:r w:rsidRPr="002E75D4">
              <w:rPr>
                <w:rFonts w:cstheme="minorHAnsi"/>
                <w:szCs w:val="24"/>
              </w:rPr>
              <w:t>BUR</w:t>
            </w:r>
          </w:p>
        </w:tc>
        <w:tc>
          <w:tcPr>
            <w:tcW w:w="4310" w:type="pct"/>
          </w:tcPr>
          <w:p w14:paraId="27685E0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Biennal Update Report</w:t>
            </w:r>
          </w:p>
        </w:tc>
      </w:tr>
      <w:tr w:rsidR="00C03EC4" w:rsidRPr="002E75D4" w14:paraId="03DEC053"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38D35B32" w14:textId="77777777" w:rsidR="00C03EC4" w:rsidRPr="002E75D4" w:rsidRDefault="00C03EC4" w:rsidP="000D6136">
            <w:pPr>
              <w:jc w:val="right"/>
              <w:rPr>
                <w:rFonts w:cstheme="minorHAnsi"/>
                <w:szCs w:val="24"/>
              </w:rPr>
            </w:pPr>
            <w:r w:rsidRPr="002E75D4">
              <w:rPr>
                <w:rFonts w:cstheme="minorHAnsi"/>
                <w:szCs w:val="24"/>
              </w:rPr>
              <w:t>BDM SA</w:t>
            </w:r>
          </w:p>
        </w:tc>
        <w:tc>
          <w:tcPr>
            <w:tcW w:w="4310" w:type="pct"/>
          </w:tcPr>
          <w:p w14:paraId="1F5E6894"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Banque de Développement du Mali</w:t>
            </w:r>
          </w:p>
        </w:tc>
      </w:tr>
      <w:tr w:rsidR="00C03EC4" w:rsidRPr="002E75D4" w14:paraId="3BA97844"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384D95E" w14:textId="77777777" w:rsidR="00C03EC4" w:rsidRPr="002E75D4" w:rsidRDefault="00C03EC4" w:rsidP="000D6136">
            <w:pPr>
              <w:jc w:val="right"/>
              <w:rPr>
                <w:rFonts w:cstheme="minorHAnsi"/>
                <w:szCs w:val="24"/>
              </w:rPr>
            </w:pPr>
            <w:r w:rsidRPr="002E75D4">
              <w:rPr>
                <w:rFonts w:cstheme="minorHAnsi"/>
                <w:szCs w:val="24"/>
              </w:rPr>
              <w:t>CC</w:t>
            </w:r>
          </w:p>
        </w:tc>
        <w:tc>
          <w:tcPr>
            <w:tcW w:w="4310" w:type="pct"/>
          </w:tcPr>
          <w:p w14:paraId="6A939AE0"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Changements Climatiques</w:t>
            </w:r>
          </w:p>
        </w:tc>
      </w:tr>
      <w:tr w:rsidR="00C03EC4" w:rsidRPr="002E75D4" w14:paraId="60411F05"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F7789F7" w14:textId="77777777" w:rsidR="00C03EC4" w:rsidRPr="002E75D4" w:rsidRDefault="00C03EC4" w:rsidP="000D6136">
            <w:pPr>
              <w:jc w:val="right"/>
              <w:rPr>
                <w:rFonts w:cstheme="minorHAnsi"/>
                <w:szCs w:val="24"/>
              </w:rPr>
            </w:pPr>
            <w:r w:rsidRPr="002E75D4">
              <w:rPr>
                <w:rFonts w:cstheme="minorHAnsi"/>
                <w:szCs w:val="24"/>
              </w:rPr>
              <w:t>CCNUCC</w:t>
            </w:r>
          </w:p>
        </w:tc>
        <w:tc>
          <w:tcPr>
            <w:tcW w:w="4310" w:type="pct"/>
          </w:tcPr>
          <w:p w14:paraId="57F4AA96"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Convention Cadre des Nations Unies sur les changements Climatiques</w:t>
            </w:r>
          </w:p>
        </w:tc>
      </w:tr>
      <w:tr w:rsidR="00C03EC4" w:rsidRPr="002E75D4" w14:paraId="73886AC7"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3D4FFD8D" w14:textId="77777777" w:rsidR="00C03EC4" w:rsidRPr="002E75D4" w:rsidRDefault="00C03EC4" w:rsidP="000D6136">
            <w:pPr>
              <w:jc w:val="right"/>
              <w:rPr>
                <w:rFonts w:cstheme="minorHAnsi"/>
                <w:szCs w:val="24"/>
              </w:rPr>
            </w:pPr>
            <w:r w:rsidRPr="002E75D4">
              <w:rPr>
                <w:rFonts w:cstheme="minorHAnsi"/>
                <w:szCs w:val="24"/>
              </w:rPr>
              <w:t>COP</w:t>
            </w:r>
          </w:p>
        </w:tc>
        <w:tc>
          <w:tcPr>
            <w:tcW w:w="4310" w:type="pct"/>
          </w:tcPr>
          <w:p w14:paraId="40BED1EE"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Conférence des Parties</w:t>
            </w:r>
          </w:p>
        </w:tc>
      </w:tr>
      <w:tr w:rsidR="00C03EC4" w:rsidRPr="002E75D4" w14:paraId="0FE63856"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37553E5" w14:textId="77777777" w:rsidR="00C03EC4" w:rsidRPr="002E75D4" w:rsidRDefault="00C03EC4" w:rsidP="000D6136">
            <w:pPr>
              <w:jc w:val="right"/>
              <w:rPr>
                <w:rFonts w:cstheme="minorHAnsi"/>
                <w:szCs w:val="24"/>
              </w:rPr>
            </w:pPr>
            <w:r w:rsidRPr="002E75D4">
              <w:rPr>
                <w:rFonts w:cstheme="minorHAnsi"/>
                <w:szCs w:val="24"/>
              </w:rPr>
              <w:t>CMDT</w:t>
            </w:r>
          </w:p>
        </w:tc>
        <w:tc>
          <w:tcPr>
            <w:tcW w:w="4310" w:type="pct"/>
          </w:tcPr>
          <w:p w14:paraId="57205EEB"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Compagnie Malienne pour le Développement des Textiles</w:t>
            </w:r>
          </w:p>
        </w:tc>
      </w:tr>
      <w:tr w:rsidR="00C03EC4" w:rsidRPr="002E75D4" w14:paraId="3BC932B2"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E0C025A" w14:textId="77777777" w:rsidR="00C03EC4" w:rsidRPr="002E75D4" w:rsidRDefault="00C03EC4" w:rsidP="000D6136">
            <w:pPr>
              <w:jc w:val="right"/>
              <w:rPr>
                <w:rFonts w:cstheme="minorHAnsi"/>
                <w:szCs w:val="24"/>
              </w:rPr>
            </w:pPr>
            <w:r w:rsidRPr="002E75D4">
              <w:rPr>
                <w:rFonts w:cstheme="minorHAnsi"/>
                <w:szCs w:val="24"/>
              </w:rPr>
              <w:t>CDN</w:t>
            </w:r>
          </w:p>
        </w:tc>
        <w:tc>
          <w:tcPr>
            <w:tcW w:w="4310" w:type="pct"/>
          </w:tcPr>
          <w:p w14:paraId="7DC2F8A1"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Contribution Déterminée au niveau National</w:t>
            </w:r>
          </w:p>
        </w:tc>
      </w:tr>
      <w:tr w:rsidR="00C03EC4" w:rsidRPr="002E75D4" w14:paraId="21B5F8BB"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30AABA65" w14:textId="77777777" w:rsidR="00C03EC4" w:rsidRPr="002E75D4" w:rsidRDefault="00C03EC4" w:rsidP="000D6136">
            <w:pPr>
              <w:jc w:val="right"/>
              <w:rPr>
                <w:rFonts w:cstheme="minorHAnsi"/>
                <w:szCs w:val="24"/>
              </w:rPr>
            </w:pPr>
            <w:r w:rsidRPr="002E75D4">
              <w:rPr>
                <w:rFonts w:cstheme="minorHAnsi"/>
                <w:szCs w:val="24"/>
              </w:rPr>
              <w:t>CREDD</w:t>
            </w:r>
          </w:p>
        </w:tc>
        <w:tc>
          <w:tcPr>
            <w:tcW w:w="4310" w:type="pct"/>
          </w:tcPr>
          <w:p w14:paraId="20BD8577"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lang w:bidi="he-IL"/>
              </w:rPr>
              <w:t>Cadre Strat</w:t>
            </w:r>
            <w:r w:rsidRPr="002E75D4">
              <w:rPr>
                <w:rFonts w:asciiTheme="majorHAnsi" w:hAnsiTheme="majorHAnsi" w:cstheme="majorHAnsi"/>
                <w:szCs w:val="24"/>
              </w:rPr>
              <w:t>é</w:t>
            </w:r>
            <w:r w:rsidRPr="002E75D4">
              <w:rPr>
                <w:rFonts w:asciiTheme="majorHAnsi" w:hAnsiTheme="majorHAnsi" w:cstheme="majorHAnsi"/>
                <w:szCs w:val="24"/>
                <w:lang w:bidi="he-IL"/>
              </w:rPr>
              <w:t xml:space="preserve">gique pour la Relance </w:t>
            </w:r>
            <w:r w:rsidRPr="002E75D4">
              <w:rPr>
                <w:rFonts w:asciiTheme="majorHAnsi" w:hAnsiTheme="majorHAnsi" w:cstheme="majorHAnsi"/>
                <w:szCs w:val="24"/>
              </w:rPr>
              <w:t>É</w:t>
            </w:r>
            <w:r w:rsidRPr="002E75D4">
              <w:rPr>
                <w:rFonts w:asciiTheme="majorHAnsi" w:hAnsiTheme="majorHAnsi" w:cstheme="majorHAnsi"/>
                <w:szCs w:val="24"/>
                <w:lang w:bidi="he-IL"/>
              </w:rPr>
              <w:t>conomique et le D</w:t>
            </w:r>
            <w:r w:rsidRPr="002E75D4">
              <w:rPr>
                <w:rFonts w:asciiTheme="majorHAnsi" w:hAnsiTheme="majorHAnsi" w:cstheme="majorHAnsi"/>
                <w:szCs w:val="24"/>
              </w:rPr>
              <w:t>é</w:t>
            </w:r>
            <w:r w:rsidRPr="002E75D4">
              <w:rPr>
                <w:rFonts w:asciiTheme="majorHAnsi" w:hAnsiTheme="majorHAnsi" w:cstheme="majorHAnsi"/>
                <w:szCs w:val="24"/>
                <w:lang w:bidi="he-IL"/>
              </w:rPr>
              <w:t>veloppement Durable</w:t>
            </w:r>
          </w:p>
        </w:tc>
      </w:tr>
      <w:tr w:rsidR="00C03EC4" w:rsidRPr="002E75D4" w14:paraId="52689814"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D13D0E2" w14:textId="77777777" w:rsidR="00C03EC4" w:rsidRPr="002E75D4" w:rsidRDefault="00C03EC4" w:rsidP="000D6136">
            <w:pPr>
              <w:jc w:val="right"/>
              <w:rPr>
                <w:rFonts w:cstheme="minorHAnsi"/>
                <w:szCs w:val="24"/>
              </w:rPr>
            </w:pPr>
            <w:r w:rsidRPr="002E75D4">
              <w:rPr>
                <w:rFonts w:cstheme="minorHAnsi"/>
                <w:szCs w:val="24"/>
              </w:rPr>
              <w:t>CESC</w:t>
            </w:r>
          </w:p>
        </w:tc>
        <w:tc>
          <w:tcPr>
            <w:tcW w:w="4310" w:type="pct"/>
          </w:tcPr>
          <w:p w14:paraId="5C415BB8"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Conseil Economique Social et Culturel</w:t>
            </w:r>
          </w:p>
        </w:tc>
      </w:tr>
      <w:tr w:rsidR="00C03EC4" w:rsidRPr="002E75D4" w14:paraId="1A101ADF"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19F293C" w14:textId="77777777" w:rsidR="00C03EC4" w:rsidRPr="002E75D4" w:rsidRDefault="00C03EC4" w:rsidP="000D6136">
            <w:pPr>
              <w:jc w:val="right"/>
              <w:rPr>
                <w:rFonts w:cstheme="minorHAnsi"/>
                <w:szCs w:val="24"/>
              </w:rPr>
            </w:pPr>
            <w:r w:rsidRPr="002E75D4">
              <w:rPr>
                <w:rFonts w:cstheme="minorHAnsi"/>
                <w:szCs w:val="24"/>
              </w:rPr>
              <w:t>CNCC</w:t>
            </w:r>
          </w:p>
        </w:tc>
        <w:tc>
          <w:tcPr>
            <w:tcW w:w="4310" w:type="pct"/>
          </w:tcPr>
          <w:p w14:paraId="21FDA0D7"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Comité National Changements Climatiques du Mali</w:t>
            </w:r>
          </w:p>
        </w:tc>
      </w:tr>
      <w:tr w:rsidR="00C03EC4" w:rsidRPr="002E75D4" w14:paraId="0A28C6F4"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76E38A6A" w14:textId="77777777" w:rsidR="00C03EC4" w:rsidRPr="002E75D4" w:rsidRDefault="00C03EC4" w:rsidP="000D6136">
            <w:pPr>
              <w:jc w:val="right"/>
              <w:rPr>
                <w:rFonts w:cstheme="minorHAnsi"/>
                <w:szCs w:val="24"/>
              </w:rPr>
            </w:pPr>
            <w:r w:rsidRPr="002E75D4">
              <w:rPr>
                <w:rFonts w:cstheme="minorHAnsi"/>
                <w:szCs w:val="24"/>
              </w:rPr>
              <w:t>CNE</w:t>
            </w:r>
          </w:p>
        </w:tc>
        <w:tc>
          <w:tcPr>
            <w:tcW w:w="4310" w:type="pct"/>
          </w:tcPr>
          <w:p w14:paraId="1242078F"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Conseil National de l'Environnement</w:t>
            </w:r>
          </w:p>
        </w:tc>
      </w:tr>
      <w:tr w:rsidR="00C03EC4" w:rsidRPr="002E75D4" w14:paraId="190BA983"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965357D" w14:textId="77777777" w:rsidR="00C03EC4" w:rsidRPr="002E75D4" w:rsidRDefault="00C03EC4" w:rsidP="000D6136">
            <w:pPr>
              <w:jc w:val="right"/>
              <w:rPr>
                <w:rFonts w:cstheme="minorHAnsi"/>
                <w:szCs w:val="24"/>
              </w:rPr>
            </w:pPr>
            <w:r w:rsidRPr="002E75D4">
              <w:rPr>
                <w:rFonts w:cstheme="minorHAnsi"/>
                <w:szCs w:val="24"/>
              </w:rPr>
              <w:t>DNA</w:t>
            </w:r>
          </w:p>
        </w:tc>
        <w:tc>
          <w:tcPr>
            <w:tcW w:w="4310" w:type="pct"/>
          </w:tcPr>
          <w:p w14:paraId="1AC1D4C1"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Direction Nationale de l’Agriculture</w:t>
            </w:r>
          </w:p>
        </w:tc>
      </w:tr>
      <w:tr w:rsidR="00C03EC4" w:rsidRPr="002E75D4" w14:paraId="59372591"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F72BF4F" w14:textId="77777777" w:rsidR="00C03EC4" w:rsidRPr="002E75D4" w:rsidRDefault="00C03EC4" w:rsidP="000D6136">
            <w:pPr>
              <w:jc w:val="right"/>
              <w:rPr>
                <w:rFonts w:cstheme="minorHAnsi"/>
                <w:szCs w:val="24"/>
              </w:rPr>
            </w:pPr>
            <w:r w:rsidRPr="002E75D4">
              <w:rPr>
                <w:rFonts w:cstheme="minorHAnsi"/>
                <w:szCs w:val="24"/>
              </w:rPr>
              <w:t>DNE</w:t>
            </w:r>
          </w:p>
        </w:tc>
        <w:tc>
          <w:tcPr>
            <w:tcW w:w="4310" w:type="pct"/>
          </w:tcPr>
          <w:p w14:paraId="202226C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lang w:bidi="fr-FR"/>
              </w:rPr>
              <w:t>Direction Nationale de l’Energie</w:t>
            </w:r>
          </w:p>
        </w:tc>
      </w:tr>
      <w:tr w:rsidR="00C03EC4" w:rsidRPr="002E75D4" w14:paraId="5FBAFE31"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33A91420" w14:textId="77777777" w:rsidR="00C03EC4" w:rsidRPr="002E75D4" w:rsidRDefault="00C03EC4" w:rsidP="000D6136">
            <w:pPr>
              <w:jc w:val="right"/>
              <w:rPr>
                <w:rFonts w:cstheme="minorHAnsi"/>
                <w:szCs w:val="24"/>
              </w:rPr>
            </w:pPr>
            <w:r w:rsidRPr="002E75D4">
              <w:rPr>
                <w:rFonts w:cstheme="minorHAnsi"/>
                <w:szCs w:val="24"/>
              </w:rPr>
              <w:t>DNEF</w:t>
            </w:r>
          </w:p>
        </w:tc>
        <w:tc>
          <w:tcPr>
            <w:tcW w:w="4310" w:type="pct"/>
          </w:tcPr>
          <w:p w14:paraId="7875F167"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Direction Nationale des Eaux et Forêts</w:t>
            </w:r>
          </w:p>
        </w:tc>
      </w:tr>
      <w:tr w:rsidR="00C03EC4" w:rsidRPr="002E75D4" w14:paraId="3A7FF6F7"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23B68EB8" w14:textId="77777777" w:rsidR="00C03EC4" w:rsidRPr="002E75D4" w:rsidRDefault="00C03EC4" w:rsidP="000D6136">
            <w:pPr>
              <w:jc w:val="right"/>
              <w:rPr>
                <w:rFonts w:cstheme="minorHAnsi"/>
                <w:szCs w:val="24"/>
              </w:rPr>
            </w:pPr>
            <w:r w:rsidRPr="002E75D4">
              <w:rPr>
                <w:rFonts w:cstheme="minorHAnsi"/>
                <w:szCs w:val="24"/>
              </w:rPr>
              <w:t>DNACPN</w:t>
            </w:r>
          </w:p>
        </w:tc>
        <w:tc>
          <w:tcPr>
            <w:tcW w:w="4310" w:type="pct"/>
          </w:tcPr>
          <w:p w14:paraId="2D8DF86B"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lang w:bidi="fr-FR"/>
              </w:rPr>
              <w:t>Direction Nationale de l’Assainissement et du Contrôle des Pollutions et des Nuisances</w:t>
            </w:r>
          </w:p>
        </w:tc>
      </w:tr>
      <w:tr w:rsidR="00C03EC4" w:rsidRPr="002E75D4" w14:paraId="7DA5A703"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A323041" w14:textId="77777777" w:rsidR="00C03EC4" w:rsidRPr="002E75D4" w:rsidRDefault="00C03EC4" w:rsidP="000D6136">
            <w:pPr>
              <w:jc w:val="right"/>
              <w:rPr>
                <w:rFonts w:cstheme="minorHAnsi"/>
                <w:szCs w:val="24"/>
              </w:rPr>
            </w:pPr>
            <w:r w:rsidRPr="002E75D4">
              <w:rPr>
                <w:rFonts w:cstheme="minorHAnsi"/>
                <w:szCs w:val="24"/>
              </w:rPr>
              <w:t>DNPD</w:t>
            </w:r>
          </w:p>
        </w:tc>
        <w:tc>
          <w:tcPr>
            <w:tcW w:w="4310" w:type="pct"/>
          </w:tcPr>
          <w:p w14:paraId="5272153D"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Direction Nationale de la Planification du Développement</w:t>
            </w:r>
          </w:p>
        </w:tc>
      </w:tr>
      <w:tr w:rsidR="00C03EC4" w:rsidRPr="002E75D4" w14:paraId="1C89BC2B"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70526D5" w14:textId="77777777" w:rsidR="00C03EC4" w:rsidRPr="002E75D4" w:rsidRDefault="00C03EC4" w:rsidP="000D6136">
            <w:pPr>
              <w:jc w:val="right"/>
              <w:rPr>
                <w:rFonts w:cstheme="minorHAnsi"/>
                <w:szCs w:val="24"/>
              </w:rPr>
            </w:pPr>
            <w:r w:rsidRPr="002E75D4">
              <w:rPr>
                <w:rFonts w:cstheme="minorHAnsi"/>
                <w:szCs w:val="24"/>
              </w:rPr>
              <w:t>EDM SA</w:t>
            </w:r>
          </w:p>
        </w:tc>
        <w:tc>
          <w:tcPr>
            <w:tcW w:w="4310" w:type="pct"/>
          </w:tcPr>
          <w:p w14:paraId="7BAFA63F"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Energie du Mali</w:t>
            </w:r>
          </w:p>
        </w:tc>
      </w:tr>
      <w:tr w:rsidR="00C03EC4" w:rsidRPr="002E75D4" w14:paraId="157CB74B"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B048C12" w14:textId="77777777" w:rsidR="00C03EC4" w:rsidRPr="002E75D4" w:rsidRDefault="00C03EC4" w:rsidP="000D6136">
            <w:pPr>
              <w:jc w:val="right"/>
              <w:rPr>
                <w:rFonts w:cstheme="minorHAnsi"/>
                <w:szCs w:val="24"/>
              </w:rPr>
            </w:pPr>
            <w:r w:rsidRPr="002E75D4">
              <w:rPr>
                <w:rFonts w:cstheme="minorHAnsi"/>
                <w:szCs w:val="24"/>
              </w:rPr>
              <w:t>EE</w:t>
            </w:r>
          </w:p>
        </w:tc>
        <w:tc>
          <w:tcPr>
            <w:tcW w:w="4310" w:type="pct"/>
          </w:tcPr>
          <w:p w14:paraId="287E6F3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lang w:bidi="fr-FR"/>
              </w:rPr>
              <w:t>Efficacité Energétique</w:t>
            </w:r>
          </w:p>
        </w:tc>
      </w:tr>
      <w:tr w:rsidR="00C03EC4" w:rsidRPr="002E75D4" w14:paraId="41EBBBF3"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C9081D3" w14:textId="77777777" w:rsidR="00C03EC4" w:rsidRPr="002E75D4" w:rsidRDefault="00C03EC4" w:rsidP="000D6136">
            <w:pPr>
              <w:jc w:val="right"/>
              <w:rPr>
                <w:rFonts w:cstheme="minorHAnsi"/>
                <w:szCs w:val="24"/>
              </w:rPr>
            </w:pPr>
            <w:r w:rsidRPr="002E75D4">
              <w:rPr>
                <w:rFonts w:cstheme="minorHAnsi"/>
                <w:szCs w:val="24"/>
              </w:rPr>
              <w:t>ENR</w:t>
            </w:r>
          </w:p>
        </w:tc>
        <w:tc>
          <w:tcPr>
            <w:tcW w:w="4310" w:type="pct"/>
          </w:tcPr>
          <w:p w14:paraId="7ED163B9"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lang w:bidi="fr-FR"/>
              </w:rPr>
              <w:t xml:space="preserve">Energie Renouvelable </w:t>
            </w:r>
          </w:p>
        </w:tc>
      </w:tr>
      <w:tr w:rsidR="00C03EC4" w:rsidRPr="002E75D4" w14:paraId="7E535EC4"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B9629FB" w14:textId="77777777" w:rsidR="00C03EC4" w:rsidRPr="002E75D4" w:rsidRDefault="00C03EC4" w:rsidP="000D6136">
            <w:pPr>
              <w:jc w:val="right"/>
              <w:rPr>
                <w:rFonts w:cstheme="minorHAnsi"/>
                <w:szCs w:val="24"/>
              </w:rPr>
            </w:pPr>
            <w:r w:rsidRPr="002E75D4">
              <w:rPr>
                <w:rFonts w:cstheme="minorHAnsi"/>
                <w:szCs w:val="24"/>
              </w:rPr>
              <w:t>FMI</w:t>
            </w:r>
          </w:p>
        </w:tc>
        <w:tc>
          <w:tcPr>
            <w:tcW w:w="4310" w:type="pct"/>
          </w:tcPr>
          <w:p w14:paraId="1AD5275A"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lang w:bidi="fr-FR"/>
              </w:rPr>
              <w:t xml:space="preserve">Fonds Monétaire International </w:t>
            </w:r>
          </w:p>
        </w:tc>
      </w:tr>
      <w:tr w:rsidR="00C03EC4" w:rsidRPr="002E75D4" w14:paraId="40A12CEF"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F677272" w14:textId="77777777" w:rsidR="00C03EC4" w:rsidRPr="002E75D4" w:rsidRDefault="00C03EC4" w:rsidP="000D6136">
            <w:pPr>
              <w:jc w:val="right"/>
              <w:rPr>
                <w:rFonts w:cstheme="minorHAnsi"/>
                <w:szCs w:val="24"/>
              </w:rPr>
            </w:pPr>
            <w:r w:rsidRPr="002E75D4">
              <w:rPr>
                <w:rFonts w:cstheme="minorHAnsi"/>
                <w:szCs w:val="24"/>
              </w:rPr>
              <w:t>GEDEFOR</w:t>
            </w:r>
          </w:p>
        </w:tc>
        <w:tc>
          <w:tcPr>
            <w:tcW w:w="4310" w:type="pct"/>
          </w:tcPr>
          <w:p w14:paraId="1E9E795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rPr>
              <w:t>Gestion Durable des Forêts</w:t>
            </w:r>
          </w:p>
        </w:tc>
      </w:tr>
      <w:tr w:rsidR="00C03EC4" w:rsidRPr="002E75D4" w14:paraId="4B0C65B2"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245A71E" w14:textId="77777777" w:rsidR="00C03EC4" w:rsidRPr="002E75D4" w:rsidRDefault="00C03EC4" w:rsidP="000D6136">
            <w:pPr>
              <w:jc w:val="right"/>
              <w:rPr>
                <w:rFonts w:cstheme="minorHAnsi"/>
                <w:szCs w:val="24"/>
              </w:rPr>
            </w:pPr>
            <w:r w:rsidRPr="002E75D4">
              <w:rPr>
                <w:rFonts w:cstheme="minorHAnsi"/>
                <w:szCs w:val="24"/>
              </w:rPr>
              <w:t>GIEC</w:t>
            </w:r>
          </w:p>
        </w:tc>
        <w:tc>
          <w:tcPr>
            <w:tcW w:w="4310" w:type="pct"/>
          </w:tcPr>
          <w:p w14:paraId="4528D8A7"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lang w:bidi="fr-FR"/>
              </w:rPr>
              <w:t>Groupe Intergouvernemental d’Experts sur l’Evolution du Climat</w:t>
            </w:r>
          </w:p>
        </w:tc>
      </w:tr>
      <w:tr w:rsidR="00C03EC4" w:rsidRPr="002E75D4" w14:paraId="009EA644"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35A64524" w14:textId="77777777" w:rsidR="00C03EC4" w:rsidRPr="002E75D4" w:rsidRDefault="00C03EC4" w:rsidP="000D6136">
            <w:pPr>
              <w:jc w:val="right"/>
              <w:rPr>
                <w:rFonts w:cstheme="minorHAnsi"/>
                <w:szCs w:val="24"/>
              </w:rPr>
            </w:pPr>
            <w:r w:rsidRPr="002E75D4">
              <w:rPr>
                <w:rFonts w:cstheme="minorHAnsi"/>
                <w:szCs w:val="24"/>
              </w:rPr>
              <w:t>GIE</w:t>
            </w:r>
          </w:p>
        </w:tc>
        <w:tc>
          <w:tcPr>
            <w:tcW w:w="4310" w:type="pct"/>
          </w:tcPr>
          <w:p w14:paraId="46B749FF"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rPr>
              <w:t>Groupement d’Intérêt Economique</w:t>
            </w:r>
          </w:p>
        </w:tc>
      </w:tr>
      <w:tr w:rsidR="00C03EC4" w:rsidRPr="002E75D4" w14:paraId="0C61AFDF"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15D1E05" w14:textId="77777777" w:rsidR="00C03EC4" w:rsidRPr="002E75D4" w:rsidRDefault="00C03EC4" w:rsidP="000D6136">
            <w:pPr>
              <w:jc w:val="right"/>
              <w:rPr>
                <w:rFonts w:cstheme="minorHAnsi"/>
                <w:szCs w:val="24"/>
              </w:rPr>
            </w:pPr>
            <w:r w:rsidRPr="002E75D4">
              <w:rPr>
                <w:rFonts w:cstheme="minorHAnsi"/>
                <w:szCs w:val="24"/>
              </w:rPr>
              <w:t>GIRE</w:t>
            </w:r>
          </w:p>
        </w:tc>
        <w:tc>
          <w:tcPr>
            <w:tcW w:w="4310" w:type="pct"/>
          </w:tcPr>
          <w:p w14:paraId="4C55A32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rPr>
              <w:t>Gestion Intégrée des Ressources en Eau</w:t>
            </w:r>
          </w:p>
        </w:tc>
      </w:tr>
      <w:tr w:rsidR="00C03EC4" w:rsidRPr="002E75D4" w14:paraId="1FE8D2C9"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AA4AC2C" w14:textId="77777777" w:rsidR="00C03EC4" w:rsidRPr="002E75D4" w:rsidRDefault="00C03EC4" w:rsidP="000D6136">
            <w:pPr>
              <w:jc w:val="right"/>
              <w:rPr>
                <w:rFonts w:cstheme="minorHAnsi"/>
                <w:szCs w:val="24"/>
              </w:rPr>
            </w:pPr>
            <w:r w:rsidRPr="002E75D4">
              <w:rPr>
                <w:rFonts w:cstheme="minorHAnsi"/>
                <w:szCs w:val="24"/>
              </w:rPr>
              <w:t>GES</w:t>
            </w:r>
          </w:p>
        </w:tc>
        <w:tc>
          <w:tcPr>
            <w:tcW w:w="4310" w:type="pct"/>
          </w:tcPr>
          <w:p w14:paraId="3A6DC344"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rPr>
              <w:t>Gaz à Effet de Serre</w:t>
            </w:r>
          </w:p>
        </w:tc>
      </w:tr>
      <w:tr w:rsidR="00C03EC4" w:rsidRPr="002E75D4" w14:paraId="45C5835F"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41EB1CA5" w14:textId="77777777" w:rsidR="00C03EC4" w:rsidRPr="002E75D4" w:rsidRDefault="00C03EC4" w:rsidP="000D6136">
            <w:pPr>
              <w:jc w:val="right"/>
              <w:rPr>
                <w:rFonts w:cstheme="minorHAnsi"/>
                <w:szCs w:val="24"/>
              </w:rPr>
            </w:pPr>
            <w:r w:rsidRPr="002E75D4">
              <w:rPr>
                <w:rFonts w:cstheme="minorHAnsi"/>
                <w:szCs w:val="24"/>
              </w:rPr>
              <w:t>INSAT</w:t>
            </w:r>
          </w:p>
        </w:tc>
        <w:tc>
          <w:tcPr>
            <w:tcW w:w="4310" w:type="pct"/>
          </w:tcPr>
          <w:p w14:paraId="73B6C58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rPr>
              <w:t>Institut National de la Statistique</w:t>
            </w:r>
          </w:p>
        </w:tc>
      </w:tr>
      <w:tr w:rsidR="00C03EC4" w:rsidRPr="002E75D4" w14:paraId="29578A49"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454DA290" w14:textId="77777777" w:rsidR="00C03EC4" w:rsidRPr="002E75D4" w:rsidRDefault="00C03EC4" w:rsidP="000D6136">
            <w:pPr>
              <w:jc w:val="right"/>
              <w:rPr>
                <w:rFonts w:cstheme="minorHAnsi"/>
                <w:szCs w:val="24"/>
              </w:rPr>
            </w:pPr>
            <w:r w:rsidRPr="002E75D4">
              <w:rPr>
                <w:rFonts w:cstheme="minorHAnsi"/>
                <w:szCs w:val="24"/>
              </w:rPr>
              <w:t>HCC</w:t>
            </w:r>
          </w:p>
        </w:tc>
        <w:tc>
          <w:tcPr>
            <w:tcW w:w="4310" w:type="pct"/>
          </w:tcPr>
          <w:p w14:paraId="4E6239FD"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rPr>
              <w:t>Haut Conseil des Collectivités</w:t>
            </w:r>
          </w:p>
        </w:tc>
      </w:tr>
      <w:tr w:rsidR="00C03EC4" w:rsidRPr="002E75D4" w14:paraId="0539E6CD"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E60D129" w14:textId="77777777" w:rsidR="00C03EC4" w:rsidRPr="002E75D4" w:rsidRDefault="00C03EC4" w:rsidP="000D6136">
            <w:pPr>
              <w:jc w:val="right"/>
              <w:rPr>
                <w:rFonts w:cstheme="minorHAnsi"/>
                <w:szCs w:val="24"/>
              </w:rPr>
            </w:pPr>
            <w:r w:rsidRPr="002E75D4">
              <w:rPr>
                <w:rFonts w:cstheme="minorHAnsi"/>
                <w:szCs w:val="24"/>
              </w:rPr>
              <w:t>FVC</w:t>
            </w:r>
          </w:p>
        </w:tc>
        <w:tc>
          <w:tcPr>
            <w:tcW w:w="4310" w:type="pct"/>
          </w:tcPr>
          <w:p w14:paraId="0344E60B"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rPr>
              <w:t>Fonds Vert pour le Climat</w:t>
            </w:r>
          </w:p>
        </w:tc>
      </w:tr>
      <w:tr w:rsidR="00C03EC4" w:rsidRPr="002E75D4" w14:paraId="07A39377"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957FFCC" w14:textId="77777777" w:rsidR="00C03EC4" w:rsidRPr="002E75D4" w:rsidRDefault="00C03EC4" w:rsidP="000D6136">
            <w:pPr>
              <w:jc w:val="right"/>
              <w:rPr>
                <w:rFonts w:cstheme="minorHAnsi"/>
                <w:szCs w:val="24"/>
              </w:rPr>
            </w:pPr>
            <w:r w:rsidRPr="002E75D4">
              <w:rPr>
                <w:rFonts w:cstheme="minorHAnsi"/>
                <w:szCs w:val="24"/>
              </w:rPr>
              <w:t>FCM</w:t>
            </w:r>
          </w:p>
        </w:tc>
        <w:tc>
          <w:tcPr>
            <w:tcW w:w="4310" w:type="pct"/>
          </w:tcPr>
          <w:p w14:paraId="5FFCFDDB"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rPr>
              <w:t>Fonds Climat Mali</w:t>
            </w:r>
          </w:p>
        </w:tc>
      </w:tr>
      <w:tr w:rsidR="00C03EC4" w:rsidRPr="002E75D4" w14:paraId="2E4A1C01"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295CF062" w14:textId="77777777" w:rsidR="00C03EC4" w:rsidRPr="002E75D4" w:rsidRDefault="00C03EC4" w:rsidP="000D6136">
            <w:pPr>
              <w:jc w:val="right"/>
              <w:rPr>
                <w:rFonts w:cstheme="minorHAnsi"/>
                <w:szCs w:val="24"/>
              </w:rPr>
            </w:pPr>
            <w:r w:rsidRPr="002E75D4">
              <w:rPr>
                <w:rFonts w:cstheme="minorHAnsi"/>
                <w:szCs w:val="24"/>
              </w:rPr>
              <w:t>MEADD</w:t>
            </w:r>
          </w:p>
        </w:tc>
        <w:tc>
          <w:tcPr>
            <w:tcW w:w="4310" w:type="pct"/>
          </w:tcPr>
          <w:p w14:paraId="6D7EA342"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lang w:bidi="fr-FR"/>
              </w:rPr>
            </w:pPr>
            <w:r w:rsidRPr="002E75D4">
              <w:rPr>
                <w:rFonts w:asciiTheme="majorHAnsi" w:hAnsiTheme="majorHAnsi" w:cstheme="majorHAnsi"/>
                <w:szCs w:val="24"/>
              </w:rPr>
              <w:t>Ministère de l’Environnement, de l’Assainissement et du Développement Durable</w:t>
            </w:r>
          </w:p>
        </w:tc>
      </w:tr>
      <w:tr w:rsidR="00C03EC4" w:rsidRPr="002E75D4" w14:paraId="3299F9A9"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C21241C" w14:textId="77777777" w:rsidR="00C03EC4" w:rsidRPr="002E75D4" w:rsidRDefault="00C03EC4" w:rsidP="000D6136">
            <w:pPr>
              <w:jc w:val="right"/>
              <w:rPr>
                <w:rFonts w:cstheme="minorHAnsi"/>
                <w:szCs w:val="24"/>
              </w:rPr>
            </w:pPr>
            <w:r w:rsidRPr="002E75D4">
              <w:rPr>
                <w:rFonts w:cstheme="minorHAnsi"/>
                <w:szCs w:val="24"/>
              </w:rPr>
              <w:t>MDP</w:t>
            </w:r>
          </w:p>
        </w:tc>
        <w:tc>
          <w:tcPr>
            <w:tcW w:w="4310" w:type="pct"/>
          </w:tcPr>
          <w:p w14:paraId="4E732687"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Mécanisme pour un Développement Propre</w:t>
            </w:r>
          </w:p>
        </w:tc>
      </w:tr>
      <w:tr w:rsidR="00C03EC4" w:rsidRPr="002E75D4" w14:paraId="0F5477A9"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80BA275" w14:textId="77777777" w:rsidR="00C03EC4" w:rsidRPr="002E75D4" w:rsidRDefault="00C03EC4" w:rsidP="000D6136">
            <w:pPr>
              <w:jc w:val="right"/>
              <w:rPr>
                <w:rFonts w:cstheme="minorHAnsi"/>
                <w:szCs w:val="24"/>
              </w:rPr>
            </w:pPr>
            <w:r w:rsidRPr="002E75D4">
              <w:rPr>
                <w:rFonts w:cstheme="minorHAnsi"/>
                <w:szCs w:val="24"/>
              </w:rPr>
              <w:t>MRV</w:t>
            </w:r>
          </w:p>
        </w:tc>
        <w:tc>
          <w:tcPr>
            <w:tcW w:w="4310" w:type="pct"/>
          </w:tcPr>
          <w:p w14:paraId="51644914"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lang w:bidi="fr-FR"/>
              </w:rPr>
              <w:t>Mesure, rapportage et vérification</w:t>
            </w:r>
          </w:p>
        </w:tc>
      </w:tr>
      <w:tr w:rsidR="00C03EC4" w:rsidRPr="002E75D4" w14:paraId="453FFF45"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367F3762" w14:textId="77777777" w:rsidR="00C03EC4" w:rsidRPr="002E75D4" w:rsidRDefault="00C03EC4" w:rsidP="000D6136">
            <w:pPr>
              <w:jc w:val="right"/>
              <w:rPr>
                <w:rFonts w:cstheme="minorHAnsi"/>
                <w:szCs w:val="24"/>
              </w:rPr>
            </w:pPr>
            <w:r w:rsidRPr="002E75D4">
              <w:rPr>
                <w:rFonts w:cstheme="minorHAnsi"/>
                <w:szCs w:val="24"/>
              </w:rPr>
              <w:t>ODD</w:t>
            </w:r>
          </w:p>
        </w:tc>
        <w:tc>
          <w:tcPr>
            <w:tcW w:w="4310" w:type="pct"/>
          </w:tcPr>
          <w:p w14:paraId="497C6BCA"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Objectifs de Développement Durable</w:t>
            </w:r>
          </w:p>
        </w:tc>
      </w:tr>
      <w:tr w:rsidR="00C03EC4" w:rsidRPr="002E75D4" w14:paraId="12311D8E"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4330E092" w14:textId="77777777" w:rsidR="00C03EC4" w:rsidRPr="002E75D4" w:rsidRDefault="00C03EC4" w:rsidP="000D6136">
            <w:pPr>
              <w:jc w:val="right"/>
              <w:rPr>
                <w:rFonts w:cstheme="minorHAnsi"/>
                <w:szCs w:val="24"/>
              </w:rPr>
            </w:pPr>
            <w:r w:rsidRPr="002E75D4">
              <w:rPr>
                <w:rFonts w:cstheme="minorHAnsi"/>
                <w:szCs w:val="24"/>
              </w:rPr>
              <w:t>OVMS</w:t>
            </w:r>
          </w:p>
        </w:tc>
        <w:tc>
          <w:tcPr>
            <w:tcW w:w="4310" w:type="pct"/>
          </w:tcPr>
          <w:p w14:paraId="45240719" w14:textId="77777777" w:rsidR="00C03EC4" w:rsidRPr="002E75D4" w:rsidRDefault="00C03EC4" w:rsidP="000D6136">
            <w:pPr>
              <w:spacing w:after="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Organisation pour la mise en valeur du fleuve Sénégal</w:t>
            </w:r>
          </w:p>
        </w:tc>
      </w:tr>
      <w:tr w:rsidR="00C03EC4" w:rsidRPr="002E75D4" w14:paraId="2860ADFA"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1479167" w14:textId="77777777" w:rsidR="00C03EC4" w:rsidRPr="002E75D4" w:rsidRDefault="00C03EC4" w:rsidP="000D6136">
            <w:pPr>
              <w:jc w:val="right"/>
              <w:rPr>
                <w:rFonts w:cstheme="minorHAnsi"/>
                <w:szCs w:val="24"/>
              </w:rPr>
            </w:pPr>
            <w:r w:rsidRPr="002E75D4">
              <w:rPr>
                <w:rFonts w:cstheme="minorHAnsi"/>
                <w:szCs w:val="24"/>
              </w:rPr>
              <w:t>PANA</w:t>
            </w:r>
          </w:p>
        </w:tc>
        <w:tc>
          <w:tcPr>
            <w:tcW w:w="4310" w:type="pct"/>
          </w:tcPr>
          <w:p w14:paraId="31A1D477" w14:textId="77777777" w:rsidR="00C03EC4" w:rsidRPr="002E75D4" w:rsidRDefault="00C03EC4" w:rsidP="000D6136">
            <w:pPr>
              <w:spacing w:after="80"/>
              <w:jc w:val="both"/>
              <w:cnfStyle w:val="000000000000" w:firstRow="0" w:lastRow="0" w:firstColumn="0" w:lastColumn="0" w:oddVBand="0" w:evenVBand="0" w:oddHBand="0" w:evenHBand="0" w:firstRowFirstColumn="0" w:firstRowLastColumn="0" w:lastRowFirstColumn="0" w:lastRowLastColumn="0"/>
              <w:rPr>
                <w:rStyle w:val="tlid-translation"/>
                <w:rFonts w:asciiTheme="majorHAnsi" w:hAnsiTheme="majorHAnsi" w:cstheme="majorHAnsi"/>
                <w:szCs w:val="24"/>
              </w:rPr>
            </w:pPr>
            <w:r w:rsidRPr="002E75D4">
              <w:rPr>
                <w:rStyle w:val="tlid-translation"/>
                <w:rFonts w:asciiTheme="majorHAnsi" w:hAnsiTheme="majorHAnsi" w:cstheme="majorHAnsi"/>
                <w:szCs w:val="24"/>
              </w:rPr>
              <w:t xml:space="preserve">Plan d’Actions National d’Adaptation </w:t>
            </w:r>
          </w:p>
        </w:tc>
      </w:tr>
      <w:tr w:rsidR="00C03EC4" w:rsidRPr="002E75D4" w14:paraId="5ABFFB61"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FFF1F82" w14:textId="77777777" w:rsidR="00C03EC4" w:rsidRPr="002E75D4" w:rsidRDefault="00C03EC4" w:rsidP="000D6136">
            <w:pPr>
              <w:jc w:val="right"/>
              <w:rPr>
                <w:rFonts w:cstheme="minorHAnsi"/>
                <w:szCs w:val="24"/>
              </w:rPr>
            </w:pPr>
            <w:r w:rsidRPr="002E75D4">
              <w:rPr>
                <w:rFonts w:cstheme="minorHAnsi"/>
                <w:szCs w:val="24"/>
              </w:rPr>
              <w:t>PIB</w:t>
            </w:r>
          </w:p>
        </w:tc>
        <w:tc>
          <w:tcPr>
            <w:tcW w:w="4310" w:type="pct"/>
          </w:tcPr>
          <w:p w14:paraId="19688B98" w14:textId="77777777" w:rsidR="00C03EC4" w:rsidRPr="002E75D4" w:rsidRDefault="00C03EC4" w:rsidP="000D6136">
            <w:pPr>
              <w:spacing w:after="80"/>
              <w:jc w:val="both"/>
              <w:cnfStyle w:val="000000000000" w:firstRow="0" w:lastRow="0" w:firstColumn="0" w:lastColumn="0" w:oddVBand="0" w:evenVBand="0" w:oddHBand="0" w:evenHBand="0" w:firstRowFirstColumn="0" w:firstRowLastColumn="0" w:lastRowFirstColumn="0" w:lastRowLastColumn="0"/>
              <w:rPr>
                <w:rStyle w:val="tlid-translation"/>
                <w:rFonts w:asciiTheme="majorHAnsi" w:hAnsiTheme="majorHAnsi" w:cstheme="majorHAnsi"/>
                <w:szCs w:val="24"/>
              </w:rPr>
            </w:pPr>
            <w:r w:rsidRPr="002E75D4">
              <w:rPr>
                <w:rStyle w:val="tlid-translation"/>
                <w:rFonts w:asciiTheme="majorHAnsi" w:hAnsiTheme="majorHAnsi" w:cstheme="majorHAnsi"/>
                <w:szCs w:val="24"/>
              </w:rPr>
              <w:t xml:space="preserve">Produit Intérieur Brut </w:t>
            </w:r>
          </w:p>
        </w:tc>
      </w:tr>
      <w:tr w:rsidR="00C03EC4" w:rsidRPr="002E75D4" w14:paraId="46ECA893"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21BA06E" w14:textId="77777777" w:rsidR="00C03EC4" w:rsidRPr="002E75D4" w:rsidRDefault="00C03EC4" w:rsidP="000D6136">
            <w:pPr>
              <w:jc w:val="right"/>
              <w:rPr>
                <w:rFonts w:cstheme="minorHAnsi"/>
                <w:szCs w:val="24"/>
              </w:rPr>
            </w:pPr>
            <w:r w:rsidRPr="002E75D4">
              <w:rPr>
                <w:rFonts w:cstheme="minorHAnsi"/>
                <w:szCs w:val="24"/>
              </w:rPr>
              <w:t>PIRL</w:t>
            </w:r>
          </w:p>
        </w:tc>
        <w:tc>
          <w:tcPr>
            <w:tcW w:w="4310" w:type="pct"/>
          </w:tcPr>
          <w:p w14:paraId="48E65235" w14:textId="77777777" w:rsidR="00C03EC4" w:rsidRPr="002E75D4" w:rsidRDefault="00C03EC4" w:rsidP="000D6136">
            <w:pPr>
              <w:spacing w:after="80"/>
              <w:jc w:val="both"/>
              <w:cnfStyle w:val="000000000000" w:firstRow="0" w:lastRow="0" w:firstColumn="0" w:lastColumn="0" w:oddVBand="0" w:evenVBand="0" w:oddHBand="0" w:evenHBand="0" w:firstRowFirstColumn="0" w:firstRowLastColumn="0" w:lastRowFirstColumn="0" w:lastRowLastColumn="0"/>
              <w:rPr>
                <w:rStyle w:val="tlid-translation"/>
                <w:rFonts w:asciiTheme="majorHAnsi" w:hAnsiTheme="majorHAnsi" w:cstheme="majorHAnsi"/>
                <w:szCs w:val="24"/>
              </w:rPr>
            </w:pPr>
            <w:r w:rsidRPr="002E75D4">
              <w:rPr>
                <w:rFonts w:asciiTheme="majorHAnsi" w:hAnsiTheme="majorHAnsi" w:cstheme="majorHAnsi"/>
                <w:szCs w:val="24"/>
                <w:lang w:bidi="fr-FR"/>
              </w:rPr>
              <w:t>Projet d’Inventaire des Ressources Ligneuses</w:t>
            </w:r>
          </w:p>
        </w:tc>
      </w:tr>
      <w:tr w:rsidR="00C03EC4" w:rsidRPr="002E75D4" w14:paraId="699059CA"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00BE9C5" w14:textId="77777777" w:rsidR="00C03EC4" w:rsidRPr="002E75D4" w:rsidRDefault="00C03EC4" w:rsidP="000D6136">
            <w:pPr>
              <w:jc w:val="right"/>
              <w:rPr>
                <w:rFonts w:cstheme="minorHAnsi"/>
                <w:szCs w:val="24"/>
              </w:rPr>
            </w:pPr>
            <w:r w:rsidRPr="002E75D4">
              <w:rPr>
                <w:rFonts w:cstheme="minorHAnsi"/>
                <w:szCs w:val="24"/>
              </w:rPr>
              <w:t>PNA</w:t>
            </w:r>
          </w:p>
        </w:tc>
        <w:tc>
          <w:tcPr>
            <w:tcW w:w="4310" w:type="pct"/>
          </w:tcPr>
          <w:p w14:paraId="6413E04A"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Plan National d’Adaptation</w:t>
            </w:r>
          </w:p>
        </w:tc>
      </w:tr>
      <w:tr w:rsidR="00C03EC4" w:rsidRPr="002E75D4" w14:paraId="4EAB87D9"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1D178DE" w14:textId="77777777" w:rsidR="00C03EC4" w:rsidRPr="002E75D4" w:rsidRDefault="00C03EC4" w:rsidP="000D6136">
            <w:pPr>
              <w:jc w:val="right"/>
              <w:rPr>
                <w:rFonts w:cstheme="minorHAnsi"/>
                <w:szCs w:val="24"/>
              </w:rPr>
            </w:pPr>
            <w:r w:rsidRPr="002E75D4">
              <w:rPr>
                <w:rFonts w:cstheme="minorHAnsi"/>
                <w:szCs w:val="24"/>
              </w:rPr>
              <w:t>PNB</w:t>
            </w:r>
          </w:p>
        </w:tc>
        <w:tc>
          <w:tcPr>
            <w:tcW w:w="4310" w:type="pct"/>
          </w:tcPr>
          <w:p w14:paraId="3C16B85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 xml:space="preserve">Produit National Brut </w:t>
            </w:r>
          </w:p>
        </w:tc>
      </w:tr>
      <w:tr w:rsidR="00C03EC4" w:rsidRPr="002E75D4" w14:paraId="3E209DF9"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25877549" w14:textId="77777777" w:rsidR="00C03EC4" w:rsidRPr="002E75D4" w:rsidRDefault="00C03EC4" w:rsidP="000D6136">
            <w:pPr>
              <w:jc w:val="right"/>
              <w:rPr>
                <w:rFonts w:cstheme="minorHAnsi"/>
                <w:szCs w:val="24"/>
              </w:rPr>
            </w:pPr>
            <w:r w:rsidRPr="002E75D4">
              <w:rPr>
                <w:rFonts w:cstheme="minorHAnsi"/>
                <w:szCs w:val="24"/>
              </w:rPr>
              <w:t>PNUD</w:t>
            </w:r>
          </w:p>
        </w:tc>
        <w:tc>
          <w:tcPr>
            <w:tcW w:w="4310" w:type="pct"/>
          </w:tcPr>
          <w:p w14:paraId="58AB491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Programme des Nations Unies pour le Développement</w:t>
            </w:r>
          </w:p>
        </w:tc>
      </w:tr>
      <w:tr w:rsidR="00C03EC4" w:rsidRPr="002E75D4" w14:paraId="62259BBC"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4593B64" w14:textId="77777777" w:rsidR="00C03EC4" w:rsidRPr="002E75D4" w:rsidRDefault="00C03EC4" w:rsidP="000D6136">
            <w:pPr>
              <w:jc w:val="right"/>
              <w:rPr>
                <w:rFonts w:cstheme="minorHAnsi"/>
                <w:szCs w:val="24"/>
              </w:rPr>
            </w:pPr>
            <w:r w:rsidRPr="002E75D4">
              <w:rPr>
                <w:rFonts w:cstheme="minorHAnsi"/>
                <w:szCs w:val="24"/>
              </w:rPr>
              <w:t>PTF</w:t>
            </w:r>
          </w:p>
        </w:tc>
        <w:tc>
          <w:tcPr>
            <w:tcW w:w="4310" w:type="pct"/>
          </w:tcPr>
          <w:p w14:paraId="6E482E50"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Partenaires Techniques et Financiers</w:t>
            </w:r>
          </w:p>
        </w:tc>
      </w:tr>
      <w:tr w:rsidR="00C03EC4" w:rsidRPr="002E75D4" w14:paraId="08AEE627"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7D4720F" w14:textId="77777777" w:rsidR="00C03EC4" w:rsidRPr="002E75D4" w:rsidRDefault="00C03EC4" w:rsidP="000D6136">
            <w:pPr>
              <w:jc w:val="right"/>
              <w:rPr>
                <w:rFonts w:cstheme="minorHAnsi"/>
                <w:szCs w:val="24"/>
              </w:rPr>
            </w:pPr>
            <w:r w:rsidRPr="002E75D4">
              <w:rPr>
                <w:rFonts w:cstheme="minorHAnsi"/>
                <w:szCs w:val="24"/>
              </w:rPr>
              <w:t>SEI</w:t>
            </w:r>
          </w:p>
        </w:tc>
        <w:tc>
          <w:tcPr>
            <w:tcW w:w="4310" w:type="pct"/>
          </w:tcPr>
          <w:p w14:paraId="0C287F78"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Style w:val="tlid-translation"/>
                <w:rFonts w:asciiTheme="majorHAnsi" w:hAnsiTheme="majorHAnsi" w:cstheme="majorHAnsi"/>
                <w:szCs w:val="24"/>
              </w:rPr>
            </w:pPr>
            <w:r w:rsidRPr="002E75D4">
              <w:rPr>
                <w:rStyle w:val="tlid-translation"/>
                <w:rFonts w:asciiTheme="majorHAnsi" w:hAnsiTheme="majorHAnsi" w:cstheme="majorHAnsi"/>
                <w:szCs w:val="24"/>
              </w:rPr>
              <w:t xml:space="preserve">Institut d’Environnement de Stockholm </w:t>
            </w:r>
          </w:p>
        </w:tc>
      </w:tr>
      <w:tr w:rsidR="00C03EC4" w:rsidRPr="002E75D4" w14:paraId="066F5C4C"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38C02B8D" w14:textId="77777777" w:rsidR="00C03EC4" w:rsidRPr="002E75D4" w:rsidRDefault="00C03EC4" w:rsidP="000D6136">
            <w:pPr>
              <w:jc w:val="right"/>
              <w:rPr>
                <w:rFonts w:cstheme="minorHAnsi"/>
                <w:szCs w:val="24"/>
              </w:rPr>
            </w:pPr>
            <w:r w:rsidRPr="002E75D4">
              <w:rPr>
                <w:rFonts w:cstheme="minorHAnsi"/>
                <w:szCs w:val="24"/>
              </w:rPr>
              <w:t>SHA</w:t>
            </w:r>
          </w:p>
        </w:tc>
        <w:tc>
          <w:tcPr>
            <w:tcW w:w="4310" w:type="pct"/>
          </w:tcPr>
          <w:p w14:paraId="3F53A1B4"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Style w:val="tlid-translation"/>
                <w:rFonts w:asciiTheme="majorHAnsi" w:hAnsiTheme="majorHAnsi" w:cstheme="majorHAnsi"/>
                <w:szCs w:val="24"/>
              </w:rPr>
            </w:pPr>
            <w:r w:rsidRPr="002E75D4">
              <w:rPr>
                <w:rStyle w:val="tlid-translation"/>
                <w:rFonts w:asciiTheme="majorHAnsi" w:hAnsiTheme="majorHAnsi" w:cstheme="majorHAnsi"/>
                <w:szCs w:val="24"/>
              </w:rPr>
              <w:t>Secrétariat à l’Harmonisation de l’Aide</w:t>
            </w:r>
          </w:p>
        </w:tc>
      </w:tr>
      <w:tr w:rsidR="00C03EC4" w:rsidRPr="002E75D4" w14:paraId="64A7558C"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79348448" w14:textId="77777777" w:rsidR="00C03EC4" w:rsidRPr="002E75D4" w:rsidRDefault="00C03EC4" w:rsidP="000D6136">
            <w:pPr>
              <w:jc w:val="right"/>
              <w:rPr>
                <w:rFonts w:cstheme="minorHAnsi"/>
                <w:szCs w:val="24"/>
              </w:rPr>
            </w:pPr>
            <w:r w:rsidRPr="002E75D4">
              <w:rPr>
                <w:rFonts w:cstheme="minorHAnsi"/>
                <w:szCs w:val="24"/>
              </w:rPr>
              <w:t>SIFOR</w:t>
            </w:r>
          </w:p>
        </w:tc>
        <w:tc>
          <w:tcPr>
            <w:tcW w:w="4310" w:type="pct"/>
          </w:tcPr>
          <w:p w14:paraId="6EC3B298"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Style w:val="tlid-translation"/>
                <w:rFonts w:asciiTheme="majorHAnsi" w:hAnsiTheme="majorHAnsi" w:cstheme="majorHAnsi"/>
                <w:szCs w:val="24"/>
              </w:rPr>
            </w:pPr>
            <w:r w:rsidRPr="002E75D4">
              <w:rPr>
                <w:rFonts w:asciiTheme="majorHAnsi" w:hAnsiTheme="majorHAnsi" w:cstheme="majorHAnsi"/>
                <w:szCs w:val="24"/>
              </w:rPr>
              <w:t>Système d’Information Forestier</w:t>
            </w:r>
          </w:p>
        </w:tc>
      </w:tr>
      <w:tr w:rsidR="00C03EC4" w:rsidRPr="002E75D4" w14:paraId="4D74B12C"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289BE18" w14:textId="77777777" w:rsidR="00C03EC4" w:rsidRPr="002E75D4" w:rsidRDefault="00C03EC4" w:rsidP="000D6136">
            <w:pPr>
              <w:jc w:val="right"/>
              <w:rPr>
                <w:rFonts w:cstheme="minorHAnsi"/>
                <w:szCs w:val="24"/>
              </w:rPr>
            </w:pPr>
            <w:r w:rsidRPr="002E75D4">
              <w:rPr>
                <w:rFonts w:cstheme="minorHAnsi"/>
                <w:szCs w:val="24"/>
              </w:rPr>
              <w:t>SIE</w:t>
            </w:r>
          </w:p>
        </w:tc>
        <w:tc>
          <w:tcPr>
            <w:tcW w:w="4310" w:type="pct"/>
          </w:tcPr>
          <w:p w14:paraId="794E5736"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Style w:val="tlid-translation"/>
                <w:rFonts w:asciiTheme="majorHAnsi" w:hAnsiTheme="majorHAnsi" w:cstheme="majorHAnsi"/>
                <w:szCs w:val="24"/>
              </w:rPr>
            </w:pPr>
            <w:r w:rsidRPr="002E75D4">
              <w:rPr>
                <w:rFonts w:asciiTheme="majorHAnsi" w:hAnsiTheme="majorHAnsi" w:cstheme="majorHAnsi"/>
                <w:szCs w:val="24"/>
              </w:rPr>
              <w:t>Système d’Information Energétique</w:t>
            </w:r>
          </w:p>
        </w:tc>
      </w:tr>
      <w:tr w:rsidR="00C03EC4" w:rsidRPr="002E75D4" w14:paraId="3620E1AD"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10BDCDD0" w14:textId="77777777" w:rsidR="00C03EC4" w:rsidRPr="002E75D4" w:rsidRDefault="00C03EC4" w:rsidP="000D6136">
            <w:pPr>
              <w:jc w:val="right"/>
              <w:rPr>
                <w:rFonts w:cstheme="minorHAnsi"/>
                <w:szCs w:val="24"/>
              </w:rPr>
            </w:pPr>
            <w:r w:rsidRPr="002E75D4">
              <w:rPr>
                <w:rFonts w:cstheme="minorHAnsi"/>
                <w:szCs w:val="24"/>
              </w:rPr>
              <w:t>SLPC</w:t>
            </w:r>
          </w:p>
        </w:tc>
        <w:tc>
          <w:tcPr>
            <w:tcW w:w="4310" w:type="pct"/>
          </w:tcPr>
          <w:p w14:paraId="5C8D5C75"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Style w:val="tlid-translation"/>
                <w:rFonts w:asciiTheme="majorHAnsi" w:hAnsiTheme="majorHAnsi" w:cstheme="majorHAnsi"/>
                <w:szCs w:val="24"/>
              </w:rPr>
            </w:pPr>
            <w:r w:rsidRPr="002E75D4">
              <w:rPr>
                <w:rFonts w:asciiTheme="majorHAnsi" w:hAnsiTheme="majorHAnsi" w:cstheme="majorHAnsi"/>
                <w:szCs w:val="24"/>
              </w:rPr>
              <w:t>Polluant climatique à courte durée de vie</w:t>
            </w:r>
          </w:p>
        </w:tc>
      </w:tr>
      <w:tr w:rsidR="00C03EC4" w:rsidRPr="002E75D4" w14:paraId="0B76D7A3"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267E7647" w14:textId="77777777" w:rsidR="00C03EC4" w:rsidRPr="002E75D4" w:rsidRDefault="00C03EC4" w:rsidP="000D6136">
            <w:pPr>
              <w:jc w:val="right"/>
              <w:rPr>
                <w:rFonts w:cstheme="minorHAnsi"/>
                <w:szCs w:val="24"/>
              </w:rPr>
            </w:pPr>
            <w:r w:rsidRPr="002E75D4">
              <w:rPr>
                <w:rFonts w:cstheme="minorHAnsi"/>
                <w:szCs w:val="24"/>
              </w:rPr>
              <w:t>SRI</w:t>
            </w:r>
          </w:p>
        </w:tc>
        <w:tc>
          <w:tcPr>
            <w:tcW w:w="4310" w:type="pct"/>
          </w:tcPr>
          <w:p w14:paraId="5C8C3FC2"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Style w:val="tlid-translation"/>
                <w:rFonts w:asciiTheme="majorHAnsi" w:hAnsiTheme="majorHAnsi" w:cstheme="majorHAnsi"/>
                <w:szCs w:val="24"/>
              </w:rPr>
            </w:pPr>
            <w:r w:rsidRPr="002E75D4">
              <w:rPr>
                <w:rFonts w:asciiTheme="majorHAnsi" w:hAnsiTheme="majorHAnsi" w:cstheme="majorHAnsi"/>
                <w:szCs w:val="24"/>
              </w:rPr>
              <w:t>Système de riziculture intensive</w:t>
            </w:r>
          </w:p>
        </w:tc>
      </w:tr>
      <w:tr w:rsidR="00C03EC4" w:rsidRPr="002E75D4" w14:paraId="7B5056B0"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693B39BE" w14:textId="77777777" w:rsidR="00C03EC4" w:rsidRPr="002E75D4" w:rsidRDefault="00C03EC4" w:rsidP="000D6136">
            <w:pPr>
              <w:jc w:val="right"/>
              <w:rPr>
                <w:rFonts w:cstheme="minorHAnsi"/>
                <w:szCs w:val="24"/>
              </w:rPr>
            </w:pPr>
            <w:r w:rsidRPr="002E75D4">
              <w:rPr>
                <w:rFonts w:cstheme="minorHAnsi"/>
                <w:szCs w:val="24"/>
              </w:rPr>
              <w:t>SNGIE</w:t>
            </w:r>
          </w:p>
        </w:tc>
        <w:tc>
          <w:tcPr>
            <w:tcW w:w="4310" w:type="pct"/>
          </w:tcPr>
          <w:p w14:paraId="20230A56"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Système National de Gestion de l’Information Environnementale</w:t>
            </w:r>
          </w:p>
        </w:tc>
      </w:tr>
      <w:tr w:rsidR="00C03EC4" w:rsidRPr="002E75D4" w14:paraId="71F9280A"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41A88C9" w14:textId="77777777" w:rsidR="00C03EC4" w:rsidRPr="002E75D4" w:rsidRDefault="00C03EC4" w:rsidP="000D6136">
            <w:pPr>
              <w:jc w:val="right"/>
              <w:rPr>
                <w:rFonts w:cstheme="minorHAnsi"/>
                <w:szCs w:val="24"/>
              </w:rPr>
            </w:pPr>
            <w:r w:rsidRPr="002E75D4">
              <w:rPr>
                <w:rFonts w:cstheme="minorHAnsi"/>
                <w:szCs w:val="24"/>
              </w:rPr>
              <w:t>TCN</w:t>
            </w:r>
          </w:p>
        </w:tc>
        <w:tc>
          <w:tcPr>
            <w:tcW w:w="4310" w:type="pct"/>
          </w:tcPr>
          <w:p w14:paraId="18FE61C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rPr>
              <w:t>Troisième Communication Nationale</w:t>
            </w:r>
          </w:p>
        </w:tc>
      </w:tr>
      <w:tr w:rsidR="00C03EC4" w:rsidRPr="002E75D4" w14:paraId="5A06DEAE" w14:textId="77777777" w:rsidTr="000D6136">
        <w:trPr>
          <w:trHeight w:val="372"/>
          <w:jc w:val="center"/>
        </w:trPr>
        <w:tc>
          <w:tcPr>
            <w:cnfStyle w:val="001000000000" w:firstRow="0" w:lastRow="0" w:firstColumn="1" w:lastColumn="0" w:oddVBand="0" w:evenVBand="0" w:oddHBand="0" w:evenHBand="0" w:firstRowFirstColumn="0" w:firstRowLastColumn="0" w:lastRowFirstColumn="0" w:lastRowLastColumn="0"/>
            <w:tcW w:w="690" w:type="pct"/>
          </w:tcPr>
          <w:p w14:paraId="7E81FC4B" w14:textId="77777777" w:rsidR="00C03EC4" w:rsidRPr="002E75D4" w:rsidRDefault="00C03EC4" w:rsidP="000D6136">
            <w:pPr>
              <w:jc w:val="right"/>
              <w:rPr>
                <w:rFonts w:cstheme="minorHAnsi"/>
                <w:szCs w:val="24"/>
              </w:rPr>
            </w:pPr>
            <w:r w:rsidRPr="002E75D4">
              <w:rPr>
                <w:rFonts w:cstheme="minorHAnsi"/>
                <w:szCs w:val="24"/>
              </w:rPr>
              <w:t>PDD-DIN</w:t>
            </w:r>
          </w:p>
        </w:tc>
        <w:tc>
          <w:tcPr>
            <w:tcW w:w="4310" w:type="pct"/>
          </w:tcPr>
          <w:p w14:paraId="5BB8C267" w14:textId="77777777" w:rsidR="00C03EC4" w:rsidRPr="002E75D4" w:rsidRDefault="00C03EC4" w:rsidP="000D6136">
            <w:pPr>
              <w:spacing w:after="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Programme de Développement Durable du Delta Inter du Niger</w:t>
            </w:r>
          </w:p>
        </w:tc>
      </w:tr>
      <w:tr w:rsidR="00C03EC4" w:rsidRPr="002E75D4" w14:paraId="1F5B461B"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4999D50" w14:textId="77777777" w:rsidR="00C03EC4" w:rsidRPr="002E75D4" w:rsidRDefault="00C03EC4" w:rsidP="000D6136">
            <w:pPr>
              <w:jc w:val="right"/>
              <w:rPr>
                <w:rFonts w:cstheme="minorHAnsi"/>
                <w:szCs w:val="24"/>
              </w:rPr>
            </w:pPr>
            <w:r w:rsidRPr="002E75D4">
              <w:rPr>
                <w:rFonts w:cstheme="minorHAnsi"/>
                <w:szCs w:val="24"/>
              </w:rPr>
              <w:t>PRAPS</w:t>
            </w:r>
          </w:p>
        </w:tc>
        <w:tc>
          <w:tcPr>
            <w:tcW w:w="4310" w:type="pct"/>
          </w:tcPr>
          <w:p w14:paraId="2434F9AE"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Projet Régional d’Appui au Pastoralisme au Sahel</w:t>
            </w:r>
          </w:p>
        </w:tc>
      </w:tr>
      <w:tr w:rsidR="00C03EC4" w:rsidRPr="002E75D4" w14:paraId="76167238"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0B9D2EA3" w14:textId="77777777" w:rsidR="00C03EC4" w:rsidRPr="002E75D4" w:rsidRDefault="00C03EC4" w:rsidP="000D6136">
            <w:pPr>
              <w:jc w:val="right"/>
              <w:rPr>
                <w:rFonts w:cstheme="minorHAnsi"/>
                <w:szCs w:val="24"/>
              </w:rPr>
            </w:pPr>
            <w:r w:rsidRPr="002E75D4">
              <w:rPr>
                <w:rFonts w:cstheme="minorHAnsi"/>
                <w:szCs w:val="24"/>
              </w:rPr>
              <w:t>UICN</w:t>
            </w:r>
          </w:p>
        </w:tc>
        <w:tc>
          <w:tcPr>
            <w:tcW w:w="4310" w:type="pct"/>
          </w:tcPr>
          <w:p w14:paraId="2812D8DE"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Fonts w:asciiTheme="majorHAnsi" w:hAnsiTheme="majorHAnsi" w:cstheme="majorHAnsi"/>
                <w:szCs w:val="24"/>
                <w:lang w:bidi="fr-FR"/>
              </w:rPr>
              <w:t>Union Internationale de la Conservation de la Nature</w:t>
            </w:r>
          </w:p>
        </w:tc>
      </w:tr>
      <w:tr w:rsidR="00C03EC4" w:rsidRPr="002E75D4" w14:paraId="72F4F1A4" w14:textId="77777777" w:rsidTr="000D6136">
        <w:trPr>
          <w:jc w:val="center"/>
        </w:trPr>
        <w:tc>
          <w:tcPr>
            <w:cnfStyle w:val="001000000000" w:firstRow="0" w:lastRow="0" w:firstColumn="1" w:lastColumn="0" w:oddVBand="0" w:evenVBand="0" w:oddHBand="0" w:evenHBand="0" w:firstRowFirstColumn="0" w:firstRowLastColumn="0" w:lastRowFirstColumn="0" w:lastRowLastColumn="0"/>
            <w:tcW w:w="690" w:type="pct"/>
          </w:tcPr>
          <w:p w14:paraId="5628C9AD" w14:textId="77777777" w:rsidR="00C03EC4" w:rsidRPr="002E75D4" w:rsidRDefault="00C03EC4" w:rsidP="000D6136">
            <w:pPr>
              <w:jc w:val="right"/>
              <w:rPr>
                <w:rFonts w:cstheme="minorHAnsi"/>
                <w:szCs w:val="24"/>
              </w:rPr>
            </w:pPr>
            <w:r w:rsidRPr="002E75D4">
              <w:rPr>
                <w:rFonts w:cstheme="minorHAnsi"/>
                <w:szCs w:val="24"/>
              </w:rPr>
              <w:t>UEMOA</w:t>
            </w:r>
          </w:p>
        </w:tc>
        <w:tc>
          <w:tcPr>
            <w:tcW w:w="4310" w:type="pct"/>
          </w:tcPr>
          <w:p w14:paraId="75CDCB16"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4"/>
              </w:rPr>
            </w:pPr>
            <w:r w:rsidRPr="002E75D4">
              <w:rPr>
                <w:rStyle w:val="tlid-translation"/>
                <w:rFonts w:asciiTheme="majorHAnsi" w:hAnsiTheme="majorHAnsi" w:cstheme="majorHAnsi"/>
                <w:szCs w:val="24"/>
              </w:rPr>
              <w:t>Union Economique Monétaire Ouest Africaine</w:t>
            </w:r>
          </w:p>
        </w:tc>
      </w:tr>
    </w:tbl>
    <w:p w14:paraId="39E71B16" w14:textId="77777777" w:rsidR="00C03EC4" w:rsidRPr="002E75D4" w:rsidRDefault="00C03EC4" w:rsidP="00C03EC4">
      <w:pPr>
        <w:spacing w:after="0"/>
        <w:jc w:val="both"/>
        <w:rPr>
          <w:rFonts w:asciiTheme="majorHAnsi" w:hAnsiTheme="majorHAnsi" w:cstheme="majorHAnsi"/>
          <w:sz w:val="48"/>
          <w:szCs w:val="48"/>
        </w:rPr>
      </w:pPr>
    </w:p>
    <w:p w14:paraId="7206F43B" w14:textId="77777777" w:rsidR="00C03EC4" w:rsidRPr="002E75D4" w:rsidRDefault="00C03EC4" w:rsidP="00C03EC4">
      <w:pPr>
        <w:spacing w:after="120"/>
        <w:jc w:val="both"/>
        <w:rPr>
          <w:rFonts w:asciiTheme="majorHAnsi" w:hAnsiTheme="majorHAnsi" w:cstheme="majorHAnsi"/>
          <w:sz w:val="24"/>
          <w:szCs w:val="24"/>
        </w:rPr>
      </w:pPr>
    </w:p>
    <w:p w14:paraId="0FD46217" w14:textId="77777777" w:rsidR="00C03EC4" w:rsidRPr="002E75D4" w:rsidRDefault="00C03EC4" w:rsidP="00C03EC4">
      <w:pPr>
        <w:spacing w:after="120"/>
        <w:jc w:val="both"/>
        <w:rPr>
          <w:rFonts w:asciiTheme="majorHAnsi" w:hAnsiTheme="majorHAnsi" w:cstheme="majorHAnsi"/>
          <w:sz w:val="24"/>
          <w:szCs w:val="24"/>
        </w:rPr>
      </w:pPr>
    </w:p>
    <w:p w14:paraId="61C3BA23" w14:textId="77777777" w:rsidR="00C03EC4" w:rsidRPr="002E75D4" w:rsidRDefault="00C03EC4" w:rsidP="00C03EC4">
      <w:pPr>
        <w:spacing w:after="120"/>
        <w:jc w:val="both"/>
        <w:rPr>
          <w:rFonts w:asciiTheme="majorHAnsi" w:hAnsiTheme="majorHAnsi" w:cstheme="majorHAnsi"/>
          <w:sz w:val="24"/>
          <w:szCs w:val="24"/>
        </w:rPr>
      </w:pPr>
    </w:p>
    <w:p w14:paraId="2CC8A9E2" w14:textId="77777777" w:rsidR="00C03EC4" w:rsidRPr="002E75D4" w:rsidRDefault="00C03EC4" w:rsidP="00C03EC4">
      <w:pPr>
        <w:spacing w:after="120"/>
        <w:jc w:val="both"/>
        <w:rPr>
          <w:rFonts w:asciiTheme="majorHAnsi" w:hAnsiTheme="majorHAnsi" w:cstheme="majorHAnsi"/>
          <w:sz w:val="24"/>
          <w:szCs w:val="24"/>
        </w:rPr>
      </w:pPr>
    </w:p>
    <w:p w14:paraId="2929FC6C" w14:textId="77777777" w:rsidR="00C03EC4" w:rsidRPr="002E75D4" w:rsidRDefault="00C03EC4" w:rsidP="00C03EC4">
      <w:pPr>
        <w:spacing w:after="120"/>
        <w:jc w:val="both"/>
        <w:rPr>
          <w:rFonts w:asciiTheme="majorHAnsi" w:hAnsiTheme="majorHAnsi" w:cstheme="majorHAnsi"/>
          <w:sz w:val="24"/>
          <w:szCs w:val="24"/>
        </w:rPr>
      </w:pPr>
    </w:p>
    <w:p w14:paraId="4AC5935A" w14:textId="77777777" w:rsidR="00C03EC4" w:rsidRPr="002E75D4" w:rsidRDefault="00C03EC4" w:rsidP="00C03EC4">
      <w:pPr>
        <w:spacing w:after="120"/>
        <w:jc w:val="both"/>
        <w:rPr>
          <w:rFonts w:asciiTheme="majorHAnsi" w:hAnsiTheme="majorHAnsi" w:cstheme="majorHAnsi"/>
          <w:sz w:val="24"/>
          <w:szCs w:val="24"/>
        </w:rPr>
      </w:pPr>
    </w:p>
    <w:p w14:paraId="18B2AE8D" w14:textId="77777777" w:rsidR="00C03EC4" w:rsidRPr="002E75D4" w:rsidRDefault="00C03EC4" w:rsidP="00C03EC4">
      <w:pPr>
        <w:spacing w:after="120"/>
        <w:jc w:val="both"/>
        <w:rPr>
          <w:rFonts w:asciiTheme="majorHAnsi" w:hAnsiTheme="majorHAnsi" w:cstheme="majorHAnsi"/>
          <w:sz w:val="24"/>
          <w:szCs w:val="24"/>
        </w:rPr>
      </w:pPr>
    </w:p>
    <w:p w14:paraId="19DF1C4F" w14:textId="77777777" w:rsidR="00C03EC4" w:rsidRPr="002E75D4" w:rsidRDefault="00C03EC4" w:rsidP="00C03EC4">
      <w:pPr>
        <w:spacing w:after="120"/>
        <w:jc w:val="both"/>
        <w:rPr>
          <w:rFonts w:asciiTheme="majorHAnsi" w:hAnsiTheme="majorHAnsi" w:cstheme="majorHAnsi"/>
          <w:sz w:val="24"/>
          <w:szCs w:val="24"/>
        </w:rPr>
      </w:pPr>
    </w:p>
    <w:p w14:paraId="1F4DC84F" w14:textId="77777777" w:rsidR="00C03EC4" w:rsidRPr="002E75D4" w:rsidRDefault="00C03EC4" w:rsidP="00C03EC4">
      <w:pPr>
        <w:spacing w:after="120"/>
        <w:jc w:val="both"/>
        <w:rPr>
          <w:rFonts w:asciiTheme="majorHAnsi" w:hAnsiTheme="majorHAnsi" w:cstheme="majorHAnsi"/>
          <w:sz w:val="24"/>
          <w:szCs w:val="24"/>
        </w:rPr>
      </w:pPr>
    </w:p>
    <w:p w14:paraId="060A4EBA" w14:textId="77777777" w:rsidR="00C03EC4" w:rsidRPr="002E75D4" w:rsidRDefault="00C03EC4" w:rsidP="00C03EC4">
      <w:pPr>
        <w:spacing w:after="120"/>
        <w:jc w:val="both"/>
        <w:rPr>
          <w:rFonts w:asciiTheme="majorHAnsi" w:hAnsiTheme="majorHAnsi" w:cstheme="majorHAnsi"/>
          <w:sz w:val="24"/>
          <w:szCs w:val="24"/>
        </w:rPr>
      </w:pPr>
    </w:p>
    <w:p w14:paraId="547AE8BF" w14:textId="77777777" w:rsidR="00C03EC4" w:rsidRPr="002E75D4" w:rsidRDefault="00C03EC4" w:rsidP="00C03EC4">
      <w:pPr>
        <w:spacing w:after="120"/>
        <w:jc w:val="both"/>
        <w:rPr>
          <w:rFonts w:asciiTheme="majorHAnsi" w:hAnsiTheme="majorHAnsi" w:cstheme="majorHAnsi"/>
          <w:sz w:val="24"/>
          <w:szCs w:val="24"/>
        </w:rPr>
      </w:pPr>
    </w:p>
    <w:p w14:paraId="0A3FC38D" w14:textId="77777777" w:rsidR="00C03EC4" w:rsidRPr="002E75D4" w:rsidRDefault="00C03EC4" w:rsidP="00C03EC4">
      <w:pPr>
        <w:spacing w:after="120"/>
        <w:jc w:val="both"/>
        <w:rPr>
          <w:rFonts w:asciiTheme="majorHAnsi" w:hAnsiTheme="majorHAnsi" w:cstheme="majorHAnsi"/>
          <w:sz w:val="24"/>
          <w:szCs w:val="24"/>
        </w:rPr>
      </w:pPr>
    </w:p>
    <w:p w14:paraId="4B3DBBBC" w14:textId="77777777" w:rsidR="00C03EC4" w:rsidRPr="002E75D4" w:rsidRDefault="00C03EC4" w:rsidP="00C03EC4">
      <w:pPr>
        <w:spacing w:after="120"/>
        <w:jc w:val="both"/>
        <w:rPr>
          <w:rFonts w:asciiTheme="majorHAnsi" w:hAnsiTheme="majorHAnsi" w:cstheme="majorHAnsi"/>
          <w:sz w:val="24"/>
          <w:szCs w:val="24"/>
        </w:rPr>
      </w:pPr>
    </w:p>
    <w:p w14:paraId="1A57E807" w14:textId="77777777" w:rsidR="00C03EC4" w:rsidRPr="002E75D4" w:rsidRDefault="00C03EC4" w:rsidP="00C03EC4">
      <w:pPr>
        <w:spacing w:after="120"/>
        <w:jc w:val="both"/>
        <w:rPr>
          <w:rFonts w:asciiTheme="majorHAnsi" w:hAnsiTheme="majorHAnsi" w:cstheme="majorHAnsi"/>
          <w:sz w:val="24"/>
          <w:szCs w:val="24"/>
        </w:rPr>
      </w:pPr>
    </w:p>
    <w:p w14:paraId="396D0805" w14:textId="77777777" w:rsidR="00C03EC4" w:rsidRDefault="00C03EC4" w:rsidP="00C03EC4">
      <w:pPr>
        <w:spacing w:after="120"/>
        <w:rPr>
          <w:rFonts w:asciiTheme="majorHAnsi" w:hAnsiTheme="majorHAnsi" w:cstheme="majorHAnsi"/>
          <w:sz w:val="24"/>
          <w:szCs w:val="24"/>
        </w:rPr>
      </w:pPr>
    </w:p>
    <w:p w14:paraId="26D9797D" w14:textId="77777777" w:rsidR="00C03EC4" w:rsidRPr="00F24A9E" w:rsidRDefault="00C03EC4" w:rsidP="00C03EC4">
      <w:pPr>
        <w:spacing w:after="120"/>
        <w:rPr>
          <w:rFonts w:asciiTheme="majorHAnsi" w:hAnsiTheme="majorHAnsi" w:cstheme="majorHAnsi"/>
          <w:b/>
          <w:sz w:val="36"/>
          <w:szCs w:val="36"/>
        </w:rPr>
      </w:pPr>
      <w:r w:rsidRPr="00F24A9E">
        <w:rPr>
          <w:rFonts w:asciiTheme="majorHAnsi" w:hAnsiTheme="majorHAnsi" w:cstheme="majorHAnsi"/>
          <w:b/>
          <w:sz w:val="36"/>
          <w:szCs w:val="36"/>
        </w:rPr>
        <w:t>LISTE DES FIGURES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505"/>
      </w:tblGrid>
      <w:tr w:rsidR="00C03EC4" w:rsidRPr="002E75D4" w14:paraId="5BB1DDC8" w14:textId="77777777" w:rsidTr="000D6136">
        <w:trPr>
          <w:jc w:val="center"/>
        </w:trPr>
        <w:tc>
          <w:tcPr>
            <w:tcW w:w="1101" w:type="dxa"/>
          </w:tcPr>
          <w:p w14:paraId="001689CE"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Figure1</w:t>
            </w:r>
          </w:p>
        </w:tc>
        <w:tc>
          <w:tcPr>
            <w:tcW w:w="8505" w:type="dxa"/>
          </w:tcPr>
          <w:p w14:paraId="7BB14BB2"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Proportion par type de GES</w:t>
            </w:r>
          </w:p>
        </w:tc>
      </w:tr>
      <w:tr w:rsidR="00C03EC4" w:rsidRPr="002E75D4" w14:paraId="593112CE" w14:textId="77777777" w:rsidTr="000D6136">
        <w:trPr>
          <w:jc w:val="center"/>
        </w:trPr>
        <w:tc>
          <w:tcPr>
            <w:tcW w:w="1101" w:type="dxa"/>
          </w:tcPr>
          <w:p w14:paraId="51961B58"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2</w:t>
            </w:r>
          </w:p>
        </w:tc>
        <w:tc>
          <w:tcPr>
            <w:tcW w:w="8505" w:type="dxa"/>
          </w:tcPr>
          <w:p w14:paraId="06A3E912"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Déplacement des isohyètes</w:t>
            </w:r>
          </w:p>
        </w:tc>
      </w:tr>
      <w:tr w:rsidR="00C03EC4" w:rsidRPr="002E75D4" w14:paraId="000A27C5" w14:textId="77777777" w:rsidTr="000D6136">
        <w:trPr>
          <w:jc w:val="center"/>
        </w:trPr>
        <w:tc>
          <w:tcPr>
            <w:tcW w:w="1101" w:type="dxa"/>
          </w:tcPr>
          <w:p w14:paraId="4AAB5CAD"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3</w:t>
            </w:r>
          </w:p>
        </w:tc>
        <w:tc>
          <w:tcPr>
            <w:tcW w:w="8505" w:type="dxa"/>
          </w:tcPr>
          <w:p w14:paraId="2B0F2BA5"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Représentation du cadre de modélisation LEAP</w:t>
            </w:r>
          </w:p>
        </w:tc>
      </w:tr>
      <w:tr w:rsidR="00C03EC4" w:rsidRPr="002E75D4" w14:paraId="24127957" w14:textId="77777777" w:rsidTr="000D6136">
        <w:trPr>
          <w:jc w:val="center"/>
        </w:trPr>
        <w:tc>
          <w:tcPr>
            <w:tcW w:w="1101" w:type="dxa"/>
          </w:tcPr>
          <w:p w14:paraId="20A46757"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4</w:t>
            </w:r>
          </w:p>
        </w:tc>
        <w:tc>
          <w:tcPr>
            <w:tcW w:w="8505" w:type="dxa"/>
          </w:tcPr>
          <w:p w14:paraId="5E1D45FA"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Structure de la consommation d’énergie finale par source au Mali</w:t>
            </w:r>
          </w:p>
        </w:tc>
      </w:tr>
      <w:tr w:rsidR="00C03EC4" w:rsidRPr="002E75D4" w14:paraId="63532C0C" w14:textId="77777777" w:rsidTr="000D6136">
        <w:trPr>
          <w:jc w:val="center"/>
        </w:trPr>
        <w:tc>
          <w:tcPr>
            <w:tcW w:w="1101" w:type="dxa"/>
          </w:tcPr>
          <w:p w14:paraId="73C5B932"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5</w:t>
            </w:r>
          </w:p>
        </w:tc>
        <w:tc>
          <w:tcPr>
            <w:tcW w:w="8505" w:type="dxa"/>
          </w:tcPr>
          <w:p w14:paraId="035EB505"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 xml:space="preserve">Evolution des émissions de CO2 au niveau du secteur de l’énergie sur la période 2004 – 2017 </w:t>
            </w:r>
          </w:p>
        </w:tc>
      </w:tr>
      <w:tr w:rsidR="00C03EC4" w:rsidRPr="002E75D4" w14:paraId="7AAE62C2" w14:textId="77777777" w:rsidTr="000D6136">
        <w:trPr>
          <w:jc w:val="center"/>
        </w:trPr>
        <w:tc>
          <w:tcPr>
            <w:tcW w:w="1101" w:type="dxa"/>
          </w:tcPr>
          <w:p w14:paraId="08CDC126"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6</w:t>
            </w:r>
          </w:p>
        </w:tc>
        <w:tc>
          <w:tcPr>
            <w:tcW w:w="8505" w:type="dxa"/>
          </w:tcPr>
          <w:p w14:paraId="58777AC9"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Répartition des émissions de CO2 par sous-secteur de l’Energie en 2017O</w:t>
            </w:r>
          </w:p>
        </w:tc>
      </w:tr>
      <w:tr w:rsidR="00C03EC4" w:rsidRPr="002E75D4" w14:paraId="057F6274" w14:textId="77777777" w:rsidTr="000D6136">
        <w:trPr>
          <w:jc w:val="center"/>
        </w:trPr>
        <w:tc>
          <w:tcPr>
            <w:tcW w:w="1101" w:type="dxa"/>
          </w:tcPr>
          <w:p w14:paraId="0F0FA258"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7</w:t>
            </w:r>
          </w:p>
        </w:tc>
        <w:tc>
          <w:tcPr>
            <w:tcW w:w="8505" w:type="dxa"/>
          </w:tcPr>
          <w:p w14:paraId="65D3B2CD"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Répartition des émissions par types de gaz</w:t>
            </w:r>
          </w:p>
        </w:tc>
      </w:tr>
      <w:tr w:rsidR="00C03EC4" w:rsidRPr="002E75D4" w14:paraId="5D73605F" w14:textId="77777777" w:rsidTr="000D6136">
        <w:trPr>
          <w:jc w:val="center"/>
        </w:trPr>
        <w:tc>
          <w:tcPr>
            <w:tcW w:w="1101" w:type="dxa"/>
          </w:tcPr>
          <w:p w14:paraId="02F0B8E9"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8</w:t>
            </w:r>
          </w:p>
        </w:tc>
        <w:tc>
          <w:tcPr>
            <w:tcW w:w="8505" w:type="dxa"/>
          </w:tcPr>
          <w:p w14:paraId="67F28208"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Répartition des émissions par sous-secteur et par type de gaz</w:t>
            </w:r>
          </w:p>
        </w:tc>
      </w:tr>
      <w:tr w:rsidR="00C03EC4" w:rsidRPr="002E75D4" w14:paraId="2283F71D" w14:textId="77777777" w:rsidTr="000D6136">
        <w:trPr>
          <w:jc w:val="center"/>
        </w:trPr>
        <w:tc>
          <w:tcPr>
            <w:tcW w:w="1101" w:type="dxa"/>
          </w:tcPr>
          <w:p w14:paraId="2E4509D5"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9</w:t>
            </w:r>
          </w:p>
        </w:tc>
        <w:tc>
          <w:tcPr>
            <w:tcW w:w="8505" w:type="dxa"/>
          </w:tcPr>
          <w:p w14:paraId="29970ABE"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Répartition des émissions par sous-secteur</w:t>
            </w:r>
          </w:p>
        </w:tc>
      </w:tr>
      <w:tr w:rsidR="00C03EC4" w:rsidRPr="002E75D4" w14:paraId="2B261200" w14:textId="77777777" w:rsidTr="000D6136">
        <w:trPr>
          <w:jc w:val="center"/>
        </w:trPr>
        <w:tc>
          <w:tcPr>
            <w:tcW w:w="1101" w:type="dxa"/>
          </w:tcPr>
          <w:p w14:paraId="3BABD014"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10</w:t>
            </w:r>
          </w:p>
        </w:tc>
        <w:tc>
          <w:tcPr>
            <w:tcW w:w="8505" w:type="dxa"/>
          </w:tcPr>
          <w:p w14:paraId="495A601D"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Proportion des émissions par types de gaz</w:t>
            </w:r>
          </w:p>
        </w:tc>
      </w:tr>
      <w:tr w:rsidR="00C03EC4" w:rsidRPr="002E75D4" w14:paraId="00E90677" w14:textId="77777777" w:rsidTr="000D6136">
        <w:trPr>
          <w:jc w:val="center"/>
        </w:trPr>
        <w:tc>
          <w:tcPr>
            <w:tcW w:w="1101" w:type="dxa"/>
          </w:tcPr>
          <w:p w14:paraId="6E8D5F31"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11</w:t>
            </w:r>
          </w:p>
        </w:tc>
        <w:tc>
          <w:tcPr>
            <w:tcW w:w="8505" w:type="dxa"/>
          </w:tcPr>
          <w:p w14:paraId="4089C8CC"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Courbes des émissions des scénarios de base et d’atténuation pour la période 2018-2030</w:t>
            </w:r>
          </w:p>
        </w:tc>
      </w:tr>
      <w:tr w:rsidR="00C03EC4" w:rsidRPr="002E75D4" w14:paraId="75F11E58" w14:textId="77777777" w:rsidTr="000D6136">
        <w:trPr>
          <w:jc w:val="center"/>
        </w:trPr>
        <w:tc>
          <w:tcPr>
            <w:tcW w:w="1101" w:type="dxa"/>
          </w:tcPr>
          <w:p w14:paraId="06A9BA3B"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12</w:t>
            </w:r>
          </w:p>
        </w:tc>
        <w:tc>
          <w:tcPr>
            <w:tcW w:w="8505" w:type="dxa"/>
          </w:tcPr>
          <w:p w14:paraId="385A2959"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Courbes d’évolution des émissions des scenarios de base et d'atténuation pour la période 2020-2030</w:t>
            </w:r>
          </w:p>
        </w:tc>
      </w:tr>
      <w:tr w:rsidR="00C03EC4" w:rsidRPr="002E75D4" w14:paraId="0DF98240" w14:textId="77777777" w:rsidTr="000D6136">
        <w:trPr>
          <w:jc w:val="center"/>
        </w:trPr>
        <w:tc>
          <w:tcPr>
            <w:tcW w:w="1101" w:type="dxa"/>
          </w:tcPr>
          <w:p w14:paraId="3E25FCD9"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13</w:t>
            </w:r>
          </w:p>
        </w:tc>
        <w:tc>
          <w:tcPr>
            <w:tcW w:w="8505" w:type="dxa"/>
          </w:tcPr>
          <w:p w14:paraId="5261D371"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Séquestrations des émissions en KT eq CO2 au niveau du secteur Foret</w:t>
            </w:r>
          </w:p>
        </w:tc>
      </w:tr>
      <w:tr w:rsidR="00C03EC4" w:rsidRPr="002E75D4" w14:paraId="0C6B4CBC" w14:textId="77777777" w:rsidTr="000D6136">
        <w:trPr>
          <w:jc w:val="center"/>
        </w:trPr>
        <w:tc>
          <w:tcPr>
            <w:tcW w:w="1101" w:type="dxa"/>
          </w:tcPr>
          <w:p w14:paraId="38068FD1"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14</w:t>
            </w:r>
          </w:p>
        </w:tc>
        <w:tc>
          <w:tcPr>
            <w:tcW w:w="8505" w:type="dxa"/>
          </w:tcPr>
          <w:p w14:paraId="6EC81219"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Emissions de GES du secteur déchets sur la période 2020 – 2030 scenario de base et scénario d’atténuation</w:t>
            </w:r>
          </w:p>
        </w:tc>
      </w:tr>
      <w:tr w:rsidR="00C03EC4" w:rsidRPr="002E75D4" w14:paraId="3EAE853F" w14:textId="77777777" w:rsidTr="000D6136">
        <w:trPr>
          <w:jc w:val="center"/>
        </w:trPr>
        <w:tc>
          <w:tcPr>
            <w:tcW w:w="1101" w:type="dxa"/>
          </w:tcPr>
          <w:p w14:paraId="0B6B8152"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15</w:t>
            </w:r>
          </w:p>
        </w:tc>
        <w:tc>
          <w:tcPr>
            <w:tcW w:w="8505" w:type="dxa"/>
          </w:tcPr>
          <w:p w14:paraId="364CE308"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Evolution des Emissions et Atténuations Globales Nettes pour l’ensemble des secteurs</w:t>
            </w:r>
          </w:p>
        </w:tc>
      </w:tr>
      <w:tr w:rsidR="00C03EC4" w:rsidRPr="002E75D4" w14:paraId="32E64A63" w14:textId="77777777" w:rsidTr="000D6136">
        <w:trPr>
          <w:jc w:val="center"/>
        </w:trPr>
        <w:tc>
          <w:tcPr>
            <w:tcW w:w="1101" w:type="dxa"/>
          </w:tcPr>
          <w:p w14:paraId="483A8579"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16</w:t>
            </w:r>
          </w:p>
        </w:tc>
        <w:tc>
          <w:tcPr>
            <w:tcW w:w="8505" w:type="dxa"/>
          </w:tcPr>
          <w:p w14:paraId="081F46A8"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Proportion des émissions de GES en EQ CO2 par secteurs d’activités</w:t>
            </w:r>
          </w:p>
        </w:tc>
      </w:tr>
      <w:tr w:rsidR="00C03EC4" w:rsidRPr="002E75D4" w14:paraId="59C318FC" w14:textId="77777777" w:rsidTr="000D6136">
        <w:trPr>
          <w:jc w:val="center"/>
        </w:trPr>
        <w:tc>
          <w:tcPr>
            <w:tcW w:w="1101" w:type="dxa"/>
          </w:tcPr>
          <w:p w14:paraId="47C08A03"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17</w:t>
            </w:r>
          </w:p>
        </w:tc>
        <w:tc>
          <w:tcPr>
            <w:tcW w:w="8505" w:type="dxa"/>
          </w:tcPr>
          <w:p w14:paraId="407B6AF5"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Proportion des émissions globales par types de gaz pour l’ensemble des secteurs</w:t>
            </w:r>
          </w:p>
        </w:tc>
      </w:tr>
      <w:tr w:rsidR="00C03EC4" w:rsidRPr="002E75D4" w14:paraId="342F0A72" w14:textId="77777777" w:rsidTr="000D6136">
        <w:trPr>
          <w:jc w:val="center"/>
        </w:trPr>
        <w:tc>
          <w:tcPr>
            <w:tcW w:w="1101" w:type="dxa"/>
          </w:tcPr>
          <w:p w14:paraId="2CA26F8A" w14:textId="77777777" w:rsidR="00C03EC4" w:rsidRPr="002E75D4" w:rsidRDefault="00C03EC4" w:rsidP="000D6136">
            <w:pPr>
              <w:spacing w:after="120"/>
              <w:rPr>
                <w:rFonts w:asciiTheme="minorHAnsi" w:hAnsiTheme="minorHAnsi" w:cstheme="minorHAnsi"/>
                <w:b/>
                <w:sz w:val="22"/>
                <w:szCs w:val="24"/>
              </w:rPr>
            </w:pPr>
            <w:r w:rsidRPr="002E75D4">
              <w:rPr>
                <w:rFonts w:asciiTheme="minorHAnsi" w:hAnsiTheme="minorHAnsi" w:cstheme="minorHAnsi"/>
                <w:b/>
                <w:sz w:val="22"/>
                <w:szCs w:val="24"/>
              </w:rPr>
              <w:t>Figure 18</w:t>
            </w:r>
          </w:p>
        </w:tc>
        <w:tc>
          <w:tcPr>
            <w:tcW w:w="8505" w:type="dxa"/>
          </w:tcPr>
          <w:p w14:paraId="6E9DBB80"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Résumé des polluants qui sont classés comme polluants atmosphériques, polluants climatiques à courte durée de vie et gaz à effet de serre (Source : CCPA SNAP, 2019).</w:t>
            </w:r>
          </w:p>
        </w:tc>
      </w:tr>
      <w:tr w:rsidR="00C03EC4" w:rsidRPr="002E75D4" w14:paraId="2299BFCA" w14:textId="77777777" w:rsidTr="000D6136">
        <w:trPr>
          <w:jc w:val="center"/>
        </w:trPr>
        <w:tc>
          <w:tcPr>
            <w:tcW w:w="1101" w:type="dxa"/>
          </w:tcPr>
          <w:p w14:paraId="0BB09574"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 xml:space="preserve">Figure 19 </w:t>
            </w:r>
          </w:p>
        </w:tc>
        <w:tc>
          <w:tcPr>
            <w:tcW w:w="8505" w:type="dxa"/>
          </w:tcPr>
          <w:p w14:paraId="1062350C"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 xml:space="preserve">Vue d'ensemble des avantages de l'action sur les polluants climatiques à courte durée de vie pour le changement climatique </w:t>
            </w:r>
          </w:p>
        </w:tc>
      </w:tr>
      <w:tr w:rsidR="00C03EC4" w:rsidRPr="002E75D4" w14:paraId="6C0ACD03" w14:textId="77777777" w:rsidTr="000D6136">
        <w:trPr>
          <w:jc w:val="center"/>
        </w:trPr>
        <w:tc>
          <w:tcPr>
            <w:tcW w:w="1101" w:type="dxa"/>
          </w:tcPr>
          <w:p w14:paraId="7F5F6539"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20</w:t>
            </w:r>
          </w:p>
        </w:tc>
        <w:tc>
          <w:tcPr>
            <w:tcW w:w="8505" w:type="dxa"/>
          </w:tcPr>
          <w:p w14:paraId="09BB286E"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Réduction des émissions de carbone noir résultant de la mise en œuvre des mesures d'atténuation des gaz à effet de serre évaluées.</w:t>
            </w:r>
          </w:p>
        </w:tc>
      </w:tr>
      <w:tr w:rsidR="00C03EC4" w:rsidRPr="002E75D4" w14:paraId="78E24AFF" w14:textId="77777777" w:rsidTr="000D6136">
        <w:trPr>
          <w:jc w:val="center"/>
        </w:trPr>
        <w:tc>
          <w:tcPr>
            <w:tcW w:w="1101" w:type="dxa"/>
          </w:tcPr>
          <w:p w14:paraId="7567F01C"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21</w:t>
            </w:r>
          </w:p>
        </w:tc>
        <w:tc>
          <w:tcPr>
            <w:tcW w:w="8505" w:type="dxa"/>
          </w:tcPr>
          <w:p w14:paraId="2F736479"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Réduction des émissions de particules fines (PM25¬) grâce à la mise en œuvre des mesures d'atténuation des gaz à effet de serre évaluées.</w:t>
            </w:r>
          </w:p>
        </w:tc>
      </w:tr>
      <w:tr w:rsidR="00C03EC4" w:rsidRPr="002E75D4" w14:paraId="0305DD5A" w14:textId="77777777" w:rsidTr="000D6136">
        <w:trPr>
          <w:jc w:val="center"/>
        </w:trPr>
        <w:tc>
          <w:tcPr>
            <w:tcW w:w="1101" w:type="dxa"/>
          </w:tcPr>
          <w:p w14:paraId="1C641F10" w14:textId="77777777" w:rsidR="00C03EC4" w:rsidRPr="002E75D4" w:rsidRDefault="00C03EC4" w:rsidP="000D6136">
            <w:pPr>
              <w:spacing w:after="120"/>
              <w:jc w:val="both"/>
              <w:rPr>
                <w:rFonts w:asciiTheme="minorHAnsi" w:hAnsiTheme="minorHAnsi" w:cstheme="minorHAnsi"/>
                <w:b/>
                <w:sz w:val="22"/>
                <w:szCs w:val="24"/>
              </w:rPr>
            </w:pPr>
            <w:r w:rsidRPr="002E75D4">
              <w:rPr>
                <w:rFonts w:asciiTheme="minorHAnsi" w:hAnsiTheme="minorHAnsi" w:cstheme="minorHAnsi"/>
                <w:b/>
                <w:sz w:val="22"/>
                <w:szCs w:val="24"/>
              </w:rPr>
              <w:t>Figure 22</w:t>
            </w:r>
          </w:p>
        </w:tc>
        <w:tc>
          <w:tcPr>
            <w:tcW w:w="8505" w:type="dxa"/>
          </w:tcPr>
          <w:p w14:paraId="48085731" w14:textId="77777777" w:rsidR="00C03EC4" w:rsidRPr="002E75D4" w:rsidRDefault="00C03EC4" w:rsidP="000D6136">
            <w:pPr>
              <w:spacing w:after="120"/>
              <w:jc w:val="both"/>
              <w:rPr>
                <w:rFonts w:asciiTheme="majorHAnsi" w:hAnsiTheme="majorHAnsi" w:cstheme="majorHAnsi"/>
                <w:sz w:val="22"/>
                <w:szCs w:val="24"/>
              </w:rPr>
            </w:pPr>
            <w:r w:rsidRPr="002E75D4">
              <w:rPr>
                <w:rFonts w:asciiTheme="majorHAnsi" w:hAnsiTheme="majorHAnsi" w:cstheme="majorHAnsi"/>
                <w:sz w:val="22"/>
                <w:szCs w:val="24"/>
              </w:rPr>
              <w:t xml:space="preserve">Réduction des émissions d'oxydes d'azote (NOX) résultant de la mise en œuvre des mesures d'atténuation des gaz à effet de serre évaluées. </w:t>
            </w:r>
          </w:p>
        </w:tc>
      </w:tr>
    </w:tbl>
    <w:p w14:paraId="1309846A" w14:textId="77777777" w:rsidR="00C03EC4" w:rsidRPr="002E75D4" w:rsidRDefault="00C03EC4" w:rsidP="00C03EC4">
      <w:pPr>
        <w:jc w:val="both"/>
        <w:rPr>
          <w:rFonts w:asciiTheme="majorHAnsi" w:hAnsiTheme="majorHAnsi" w:cstheme="majorHAnsi"/>
          <w:b/>
          <w:sz w:val="48"/>
          <w:szCs w:val="48"/>
        </w:rPr>
      </w:pPr>
    </w:p>
    <w:p w14:paraId="6F298B42" w14:textId="77777777" w:rsidR="00C03EC4" w:rsidRPr="002E75D4" w:rsidRDefault="00C03EC4" w:rsidP="00C03EC4">
      <w:pPr>
        <w:jc w:val="both"/>
        <w:rPr>
          <w:rFonts w:asciiTheme="majorHAnsi" w:hAnsiTheme="majorHAnsi" w:cstheme="majorHAnsi"/>
          <w:b/>
          <w:sz w:val="48"/>
          <w:szCs w:val="48"/>
        </w:rPr>
      </w:pPr>
    </w:p>
    <w:p w14:paraId="27D04F06" w14:textId="77777777" w:rsidR="00C03EC4" w:rsidRPr="00F24A9E" w:rsidRDefault="00C03EC4" w:rsidP="00C03EC4">
      <w:pPr>
        <w:jc w:val="both"/>
        <w:rPr>
          <w:rFonts w:asciiTheme="majorHAnsi" w:hAnsiTheme="majorHAnsi" w:cstheme="majorHAnsi"/>
          <w:sz w:val="36"/>
          <w:szCs w:val="36"/>
        </w:rPr>
      </w:pPr>
      <w:r w:rsidRPr="00F24A9E">
        <w:rPr>
          <w:rFonts w:asciiTheme="majorHAnsi" w:hAnsiTheme="majorHAnsi" w:cstheme="majorHAnsi"/>
          <w:noProof/>
          <w:sz w:val="36"/>
          <w:szCs w:val="36"/>
          <w:lang w:eastAsia="fr-FR"/>
        </w:rPr>
        <w:drawing>
          <wp:anchor distT="0" distB="0" distL="114300" distR="114300" simplePos="0" relativeHeight="251673600" behindDoc="1" locked="0" layoutInCell="1" allowOverlap="1" wp14:anchorId="403CD8CA" wp14:editId="795585AF">
            <wp:simplePos x="0" y="0"/>
            <wp:positionH relativeFrom="column">
              <wp:posOffset>-188595</wp:posOffset>
            </wp:positionH>
            <wp:positionV relativeFrom="paragraph">
              <wp:posOffset>2540</wp:posOffset>
            </wp:positionV>
            <wp:extent cx="1753870" cy="1579245"/>
            <wp:effectExtent l="0" t="0" r="0" b="0"/>
            <wp:wrapTight wrapText="bothSides">
              <wp:wrapPolygon edited="0">
                <wp:start x="938" y="0"/>
                <wp:lineTo x="313" y="695"/>
                <wp:lineTo x="0" y="1563"/>
                <wp:lineTo x="0" y="20150"/>
                <wp:lineTo x="626" y="21192"/>
                <wp:lineTo x="938" y="21366"/>
                <wp:lineTo x="20490" y="21366"/>
                <wp:lineTo x="20802" y="21192"/>
                <wp:lineTo x="21428" y="20150"/>
                <wp:lineTo x="21428" y="1563"/>
                <wp:lineTo x="21115" y="695"/>
                <wp:lineTo x="20490" y="0"/>
                <wp:lineTo x="938" y="0"/>
              </wp:wrapPolygon>
            </wp:wrapTight>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bo-Koné-pdg-cmtd-4.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 b="45535"/>
                    <a:stretch/>
                  </pic:blipFill>
                  <pic:spPr bwMode="auto">
                    <a:xfrm>
                      <a:off x="0" y="0"/>
                      <a:ext cx="1753870" cy="15792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4A9E">
        <w:rPr>
          <w:rFonts w:asciiTheme="majorHAnsi" w:hAnsiTheme="majorHAnsi" w:cstheme="majorHAnsi"/>
          <w:b/>
          <w:sz w:val="36"/>
          <w:szCs w:val="36"/>
        </w:rPr>
        <w:t>AVANT-PROPOS</w:t>
      </w:r>
    </w:p>
    <w:p w14:paraId="7D747051"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 xml:space="preserve">L’Accord de Paris sur le climat offre une opportunité unique au Mali de transformer la trajectoire de son développement vers un développement sobre en carbone. Au regard des engagements pris par le Mali en 2015, nous avons jugé nécessaire d’accroitre nos ambitions en révisant notre Contribution Déterminée au niveau National (CDN). </w:t>
      </w:r>
    </w:p>
    <w:p w14:paraId="7705DD24"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niveau des ambitions de réduction des GES du scénario d’atténuation par rapport au scénario de base en 2030 est de :</w:t>
      </w:r>
    </w:p>
    <w:p w14:paraId="3701A8E3" w14:textId="77777777" w:rsidR="00C03EC4" w:rsidRPr="002E75D4" w:rsidRDefault="00C03EC4" w:rsidP="00C03EC4">
      <w:pPr>
        <w:pStyle w:val="Paragraphedeliste"/>
        <w:numPr>
          <w:ilvl w:val="0"/>
          <w:numId w:val="16"/>
        </w:numPr>
        <w:tabs>
          <w:tab w:val="left" w:pos="9356"/>
        </w:tabs>
        <w:spacing w:after="0" w:line="240" w:lineRule="auto"/>
        <w:ind w:left="709"/>
        <w:jc w:val="both"/>
        <w:rPr>
          <w:rFonts w:asciiTheme="majorHAnsi" w:hAnsiTheme="majorHAnsi" w:cstheme="majorHAnsi"/>
          <w:sz w:val="24"/>
          <w:szCs w:val="24"/>
        </w:rPr>
      </w:pPr>
      <w:r w:rsidRPr="002E75D4">
        <w:rPr>
          <w:rFonts w:asciiTheme="majorHAnsi" w:hAnsiTheme="majorHAnsi" w:cstheme="majorHAnsi"/>
          <w:sz w:val="24"/>
          <w:szCs w:val="24"/>
        </w:rPr>
        <w:t xml:space="preserve">31% pour le secteur énergie ; </w:t>
      </w:r>
    </w:p>
    <w:p w14:paraId="55B8DB37" w14:textId="77777777" w:rsidR="00C03EC4" w:rsidRPr="002E75D4" w:rsidRDefault="00C03EC4" w:rsidP="00C03EC4">
      <w:pPr>
        <w:pStyle w:val="Paragraphedeliste"/>
        <w:numPr>
          <w:ilvl w:val="0"/>
          <w:numId w:val="16"/>
        </w:numPr>
        <w:tabs>
          <w:tab w:val="left" w:pos="9356"/>
        </w:tabs>
        <w:spacing w:after="0" w:line="240" w:lineRule="auto"/>
        <w:ind w:left="709"/>
        <w:jc w:val="both"/>
        <w:rPr>
          <w:rFonts w:asciiTheme="majorHAnsi" w:hAnsiTheme="majorHAnsi" w:cstheme="majorHAnsi"/>
          <w:sz w:val="24"/>
          <w:szCs w:val="24"/>
        </w:rPr>
      </w:pPr>
      <w:r w:rsidRPr="002E75D4">
        <w:rPr>
          <w:rFonts w:asciiTheme="majorHAnsi" w:hAnsiTheme="majorHAnsi" w:cstheme="majorHAnsi"/>
          <w:sz w:val="24"/>
          <w:szCs w:val="24"/>
        </w:rPr>
        <w:t xml:space="preserve">25% pour le secteur agriculture ; </w:t>
      </w:r>
    </w:p>
    <w:p w14:paraId="2FBEA326" w14:textId="77777777" w:rsidR="00C03EC4" w:rsidRPr="002E75D4" w:rsidRDefault="00C03EC4" w:rsidP="00C03EC4">
      <w:pPr>
        <w:pStyle w:val="Paragraphedeliste"/>
        <w:numPr>
          <w:ilvl w:val="0"/>
          <w:numId w:val="16"/>
        </w:numPr>
        <w:tabs>
          <w:tab w:val="left" w:pos="9356"/>
        </w:tabs>
        <w:spacing w:after="0" w:line="240" w:lineRule="auto"/>
        <w:ind w:left="709"/>
        <w:jc w:val="both"/>
        <w:rPr>
          <w:rFonts w:asciiTheme="majorHAnsi" w:hAnsiTheme="majorHAnsi" w:cstheme="majorHAnsi"/>
          <w:sz w:val="24"/>
          <w:szCs w:val="24"/>
        </w:rPr>
      </w:pPr>
      <w:r w:rsidRPr="002E75D4">
        <w:rPr>
          <w:rFonts w:asciiTheme="majorHAnsi" w:hAnsiTheme="majorHAnsi" w:cstheme="majorHAnsi"/>
          <w:sz w:val="24"/>
          <w:szCs w:val="24"/>
        </w:rPr>
        <w:t xml:space="preserve">39% pour le secteur forêts et changement d’affectation des terres ; </w:t>
      </w:r>
    </w:p>
    <w:p w14:paraId="3F85BE4C" w14:textId="77777777" w:rsidR="00C03EC4" w:rsidRPr="002E75D4" w:rsidRDefault="00C03EC4" w:rsidP="00C03EC4">
      <w:pPr>
        <w:pStyle w:val="Paragraphedeliste"/>
        <w:numPr>
          <w:ilvl w:val="0"/>
          <w:numId w:val="16"/>
        </w:numPr>
        <w:tabs>
          <w:tab w:val="left" w:pos="9356"/>
        </w:tabs>
        <w:spacing w:after="0" w:line="240" w:lineRule="auto"/>
        <w:ind w:left="709"/>
        <w:jc w:val="both"/>
        <w:rPr>
          <w:rFonts w:asciiTheme="majorHAnsi" w:hAnsiTheme="majorHAnsi" w:cstheme="majorHAnsi"/>
          <w:sz w:val="24"/>
          <w:szCs w:val="24"/>
        </w:rPr>
      </w:pPr>
      <w:r w:rsidRPr="002E75D4">
        <w:rPr>
          <w:rFonts w:asciiTheme="majorHAnsi" w:hAnsiTheme="majorHAnsi" w:cstheme="majorHAnsi"/>
          <w:sz w:val="24"/>
          <w:szCs w:val="24"/>
        </w:rPr>
        <w:t>31% pour le secteur déchets.</w:t>
      </w:r>
    </w:p>
    <w:p w14:paraId="08E24D1E" w14:textId="77777777" w:rsidR="00C03EC4" w:rsidRDefault="00C03EC4" w:rsidP="00C03EC4">
      <w:p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La synthèse des émissions et des séquestrations à l’horizon 2030 donne une réduction de 40% de ces émissions totales à l’horizon 2030. Nous avons pris cet engagement dans un contexte socio-politique difficile et surtout dans un contexte de COVID</w:t>
      </w:r>
      <w:r>
        <w:rPr>
          <w:rFonts w:asciiTheme="majorHAnsi" w:hAnsiTheme="majorHAnsi" w:cstheme="majorHAnsi"/>
          <w:sz w:val="24"/>
          <w:szCs w:val="24"/>
        </w:rPr>
        <w:t>-</w:t>
      </w:r>
      <w:r w:rsidRPr="002E75D4">
        <w:rPr>
          <w:rFonts w:asciiTheme="majorHAnsi" w:hAnsiTheme="majorHAnsi" w:cstheme="majorHAnsi"/>
          <w:sz w:val="24"/>
          <w:szCs w:val="24"/>
        </w:rPr>
        <w:t xml:space="preserve">19 préoccupant, ce qui démontre la volonté ferme du Gouvernement de la République du Mali </w:t>
      </w:r>
      <w:r>
        <w:rPr>
          <w:rFonts w:asciiTheme="majorHAnsi" w:hAnsiTheme="majorHAnsi" w:cstheme="majorHAnsi"/>
          <w:sz w:val="24"/>
          <w:szCs w:val="24"/>
        </w:rPr>
        <w:t>de</w:t>
      </w:r>
      <w:r w:rsidRPr="002E75D4">
        <w:rPr>
          <w:rFonts w:asciiTheme="majorHAnsi" w:hAnsiTheme="majorHAnsi" w:cstheme="majorHAnsi"/>
          <w:sz w:val="24"/>
          <w:szCs w:val="24"/>
        </w:rPr>
        <w:t xml:space="preserve"> contribuer efficacement à l’effort collectif de lutte contre les changements climatiques. La vision de cette CDN révisée s’aligne pleinement </w:t>
      </w:r>
      <w:r>
        <w:rPr>
          <w:rFonts w:asciiTheme="majorHAnsi" w:hAnsiTheme="majorHAnsi" w:cstheme="majorHAnsi"/>
          <w:sz w:val="24"/>
          <w:szCs w:val="24"/>
        </w:rPr>
        <w:t>sur</w:t>
      </w:r>
      <w:r w:rsidRPr="002E75D4">
        <w:rPr>
          <w:rFonts w:asciiTheme="majorHAnsi" w:hAnsiTheme="majorHAnsi" w:cstheme="majorHAnsi"/>
          <w:sz w:val="24"/>
          <w:szCs w:val="24"/>
        </w:rPr>
        <w:t xml:space="preserve"> la vision de développement du Cadre </w:t>
      </w:r>
      <w:r>
        <w:rPr>
          <w:rFonts w:asciiTheme="majorHAnsi" w:hAnsiTheme="majorHAnsi" w:cstheme="majorHAnsi"/>
          <w:sz w:val="24"/>
          <w:szCs w:val="24"/>
        </w:rPr>
        <w:t xml:space="preserve">Strategique pour </w:t>
      </w:r>
      <w:r w:rsidRPr="002E75D4">
        <w:rPr>
          <w:rFonts w:asciiTheme="majorHAnsi" w:hAnsiTheme="majorHAnsi" w:cstheme="majorHAnsi"/>
          <w:sz w:val="24"/>
          <w:szCs w:val="24"/>
        </w:rPr>
        <w:t xml:space="preserve">la Relance Economique et </w:t>
      </w:r>
      <w:r>
        <w:rPr>
          <w:rFonts w:asciiTheme="majorHAnsi" w:hAnsiTheme="majorHAnsi" w:cstheme="majorHAnsi"/>
          <w:sz w:val="24"/>
          <w:szCs w:val="24"/>
        </w:rPr>
        <w:t>le</w:t>
      </w:r>
      <w:r w:rsidRPr="002E75D4">
        <w:rPr>
          <w:rFonts w:asciiTheme="majorHAnsi" w:hAnsiTheme="majorHAnsi" w:cstheme="majorHAnsi"/>
          <w:sz w:val="24"/>
          <w:szCs w:val="24"/>
        </w:rPr>
        <w:t xml:space="preserve"> Développement Durable (CREDD). </w:t>
      </w:r>
    </w:p>
    <w:p w14:paraId="6CB533C4"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7E8FC50F" w14:textId="77777777" w:rsidR="00C03EC4" w:rsidRDefault="00C03EC4" w:rsidP="00C03EC4">
      <w:p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La CDN révisée du Mali couvre quatre secteurs (Energie, Agriculture, Foresterie et Déchets) et prévoit à l’horizon 2030, la construction des centrales photovoltaïques pour augmenter la part des énergies renouvelables dans le mix énergétique; la promotion de l’utilisation de la fumure organique pour une agriculture résiliente; des programmes de reboisement intensifs et de protection des aires protégées et enfin </w:t>
      </w:r>
      <w:r>
        <w:rPr>
          <w:rFonts w:asciiTheme="majorHAnsi" w:hAnsiTheme="majorHAnsi" w:cstheme="majorHAnsi"/>
          <w:sz w:val="24"/>
          <w:szCs w:val="24"/>
        </w:rPr>
        <w:t xml:space="preserve">de </w:t>
      </w:r>
      <w:r w:rsidRPr="002E75D4">
        <w:rPr>
          <w:rFonts w:asciiTheme="majorHAnsi" w:hAnsiTheme="majorHAnsi" w:cstheme="majorHAnsi"/>
          <w:sz w:val="24"/>
          <w:szCs w:val="24"/>
        </w:rPr>
        <w:t>mieux gérer la production et la transformation des déchets dans la perspective des objectifs du développement durable.  La CDN révisée inclut également les polluants à courte durée de vie</w:t>
      </w:r>
      <w:r>
        <w:rPr>
          <w:rFonts w:asciiTheme="majorHAnsi" w:hAnsiTheme="majorHAnsi" w:cstheme="majorHAnsi"/>
          <w:sz w:val="24"/>
          <w:szCs w:val="24"/>
        </w:rPr>
        <w:t xml:space="preserve">. Cette CDN sera mise en œuvre conjointement avec le calendrier d’élimination </w:t>
      </w:r>
      <w:r w:rsidRPr="00920913">
        <w:rPr>
          <w:rFonts w:asciiTheme="majorHAnsi" w:hAnsiTheme="majorHAnsi" w:cstheme="majorHAnsi"/>
          <w:sz w:val="24"/>
          <w:szCs w:val="24"/>
        </w:rPr>
        <w:t>progressif des HCFC et HFC dans le cadre de l'amendement de Kigali signé et ratifi</w:t>
      </w:r>
      <w:r>
        <w:rPr>
          <w:rFonts w:asciiTheme="majorHAnsi" w:hAnsiTheme="majorHAnsi" w:cstheme="majorHAnsi"/>
          <w:sz w:val="24"/>
          <w:szCs w:val="24"/>
        </w:rPr>
        <w:t>é</w:t>
      </w:r>
      <w:r w:rsidRPr="00920913">
        <w:rPr>
          <w:rFonts w:asciiTheme="majorHAnsi" w:hAnsiTheme="majorHAnsi" w:cstheme="majorHAnsi"/>
          <w:sz w:val="24"/>
          <w:szCs w:val="24"/>
        </w:rPr>
        <w:t xml:space="preserve"> par le Mali</w:t>
      </w:r>
      <w:r>
        <w:rPr>
          <w:rFonts w:asciiTheme="majorHAnsi" w:hAnsiTheme="majorHAnsi" w:cstheme="majorHAnsi"/>
          <w:sz w:val="24"/>
          <w:szCs w:val="24"/>
        </w:rPr>
        <w:t>.</w:t>
      </w:r>
    </w:p>
    <w:p w14:paraId="6C87CF27"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3122EB01"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 xml:space="preserve">La CDN révisée du Mali a mis l’accent sur le genre car, il est reconnu que les femmes sont des actrices importantes du changement et détentrices de connaissances et de compétences importantes liées à l'atténuation, à l'adaptation et à la réduction des risques, ce qui fait d’elles des agents essentiels dans ce domaine. Dans la phase de mise en œuvre, il s’agira d’intégrer des indicateurs genre et d’adopter une approche sensible au genre dans l'élaboration des politiques, programmes et projets contribuant à l’atteinte des objectifs de la CDN. </w:t>
      </w:r>
    </w:p>
    <w:p w14:paraId="239E4521"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Le</w:t>
      </w:r>
      <w:r>
        <w:rPr>
          <w:rFonts w:asciiTheme="majorHAnsi" w:hAnsiTheme="majorHAnsi" w:cstheme="majorHAnsi"/>
          <w:sz w:val="24"/>
          <w:szCs w:val="24"/>
        </w:rPr>
        <w:t>s</w:t>
      </w:r>
      <w:r w:rsidRPr="002E75D4">
        <w:rPr>
          <w:rFonts w:asciiTheme="majorHAnsi" w:hAnsiTheme="majorHAnsi" w:cstheme="majorHAnsi"/>
          <w:sz w:val="24"/>
          <w:szCs w:val="24"/>
        </w:rPr>
        <w:t xml:space="preserve"> changement</w:t>
      </w:r>
      <w:r>
        <w:rPr>
          <w:rFonts w:asciiTheme="majorHAnsi" w:hAnsiTheme="majorHAnsi" w:cstheme="majorHAnsi"/>
          <w:sz w:val="24"/>
          <w:szCs w:val="24"/>
        </w:rPr>
        <w:t>s</w:t>
      </w:r>
      <w:r w:rsidRPr="002E75D4">
        <w:rPr>
          <w:rFonts w:asciiTheme="majorHAnsi" w:hAnsiTheme="majorHAnsi" w:cstheme="majorHAnsi"/>
          <w:sz w:val="24"/>
          <w:szCs w:val="24"/>
        </w:rPr>
        <w:t xml:space="preserve"> climatique</w:t>
      </w:r>
      <w:r>
        <w:rPr>
          <w:rFonts w:asciiTheme="majorHAnsi" w:hAnsiTheme="majorHAnsi" w:cstheme="majorHAnsi"/>
          <w:sz w:val="24"/>
          <w:szCs w:val="24"/>
        </w:rPr>
        <w:t>s</w:t>
      </w:r>
      <w:r w:rsidRPr="002E75D4">
        <w:rPr>
          <w:rFonts w:asciiTheme="majorHAnsi" w:hAnsiTheme="majorHAnsi" w:cstheme="majorHAnsi"/>
          <w:sz w:val="24"/>
          <w:szCs w:val="24"/>
        </w:rPr>
        <w:t xml:space="preserve"> </w:t>
      </w:r>
      <w:r>
        <w:rPr>
          <w:rFonts w:asciiTheme="majorHAnsi" w:hAnsiTheme="majorHAnsi" w:cstheme="majorHAnsi"/>
          <w:sz w:val="24"/>
          <w:szCs w:val="24"/>
        </w:rPr>
        <w:t>constituent</w:t>
      </w:r>
      <w:r w:rsidRPr="002E75D4">
        <w:rPr>
          <w:rFonts w:asciiTheme="majorHAnsi" w:hAnsiTheme="majorHAnsi" w:cstheme="majorHAnsi"/>
          <w:sz w:val="24"/>
          <w:szCs w:val="24"/>
        </w:rPr>
        <w:t xml:space="preserve"> un phénomène global avec des impacts sur tous les aspects de la vie humaine. Il est donc important d’envisager des solutions globales et locales pour faire face aux effets néfastes qui deviennent de plus en plus graves.  C’est pour cela que le Mali ambitionne, de mieux outiller les collectivités territoriales à bâtir la résilience des communautés locales pour que la réussite de la territorialisation de la CDN soit une réalité à l’horizon 2030 d’où la tenue des concertations régionales à cet effet.  </w:t>
      </w:r>
    </w:p>
    <w:p w14:paraId="09CECC92"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La réussite de la mise en œuvre de la CDN, nécessite une approche inclusive, ainsi, le Ministère de l’Economie et des Finances, constitue un acteur majeur dans ce processus. Nous avons pris l’engagement d’aller vers une budgétisation sensible aux actions climat et des mesures de renforcement de</w:t>
      </w:r>
      <w:r>
        <w:rPr>
          <w:rFonts w:asciiTheme="majorHAnsi" w:hAnsiTheme="majorHAnsi" w:cstheme="majorHAnsi"/>
          <w:sz w:val="24"/>
          <w:szCs w:val="24"/>
        </w:rPr>
        <w:t>s</w:t>
      </w:r>
      <w:r w:rsidRPr="002E75D4">
        <w:rPr>
          <w:rFonts w:asciiTheme="majorHAnsi" w:hAnsiTheme="majorHAnsi" w:cstheme="majorHAnsi"/>
          <w:sz w:val="24"/>
          <w:szCs w:val="24"/>
        </w:rPr>
        <w:t xml:space="preserve"> capacités sont déjà prises dans ce sens.</w:t>
      </w:r>
    </w:p>
    <w:p w14:paraId="5D8ABEC0"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Pour finir, il urge pour les autres ministères concernés, d’intégrer les objectifs de la CDN révisée dans leur processus de planification et d’élaborer des plans de suivi sectoriel</w:t>
      </w:r>
      <w:r>
        <w:rPr>
          <w:rFonts w:asciiTheme="majorHAnsi" w:hAnsiTheme="majorHAnsi" w:cstheme="majorHAnsi"/>
          <w:sz w:val="24"/>
          <w:szCs w:val="24"/>
        </w:rPr>
        <w:t>s</w:t>
      </w:r>
      <w:r w:rsidRPr="002E75D4">
        <w:rPr>
          <w:rFonts w:asciiTheme="majorHAnsi" w:hAnsiTheme="majorHAnsi" w:cstheme="majorHAnsi"/>
          <w:sz w:val="24"/>
          <w:szCs w:val="24"/>
        </w:rPr>
        <w:t xml:space="preserve"> pour nous permettre de suivre les progrès réalisés. C’est le lieu de saluer tous les partenaires techniques et financiers qui ont appuyé le Mali dans l’élaboration de cette CDN, qui sans nul doute nous permettra d’accélérer la transition énergétique et écologique vers un développement sobre en carbone et respectueu</w:t>
      </w:r>
      <w:r>
        <w:rPr>
          <w:rFonts w:asciiTheme="majorHAnsi" w:hAnsiTheme="majorHAnsi" w:cstheme="majorHAnsi"/>
          <w:sz w:val="24"/>
          <w:szCs w:val="24"/>
        </w:rPr>
        <w:t>x</w:t>
      </w:r>
      <w:r w:rsidRPr="002E75D4">
        <w:rPr>
          <w:rFonts w:asciiTheme="majorHAnsi" w:hAnsiTheme="majorHAnsi" w:cstheme="majorHAnsi"/>
          <w:sz w:val="24"/>
          <w:szCs w:val="24"/>
        </w:rPr>
        <w:t xml:space="preserve"> de l’Environnement afin d’atteindre l’objectif ultime de l’Accord de Paris sur le climat. </w:t>
      </w:r>
    </w:p>
    <w:p w14:paraId="2EC4B10E" w14:textId="77777777" w:rsidR="00C03EC4" w:rsidRPr="002E75D4" w:rsidRDefault="00C03EC4" w:rsidP="00C03EC4">
      <w:pPr>
        <w:jc w:val="both"/>
        <w:rPr>
          <w:rFonts w:asciiTheme="majorHAnsi" w:hAnsiTheme="majorHAnsi" w:cstheme="majorHAnsi"/>
          <w:sz w:val="24"/>
          <w:szCs w:val="24"/>
        </w:rPr>
      </w:pPr>
    </w:p>
    <w:p w14:paraId="4AC92FBD" w14:textId="77777777" w:rsidR="00C03EC4" w:rsidRPr="002E75D4" w:rsidRDefault="00C03EC4" w:rsidP="00C03EC4">
      <w:pPr>
        <w:jc w:val="both"/>
        <w:rPr>
          <w:rFonts w:asciiTheme="majorHAnsi" w:hAnsiTheme="majorHAnsi" w:cstheme="majorHAnsi"/>
          <w:sz w:val="24"/>
          <w:szCs w:val="24"/>
        </w:rPr>
      </w:pPr>
      <w:r w:rsidRPr="002E75D4">
        <w:rPr>
          <w:noProof/>
          <w:lang w:eastAsia="fr-FR"/>
        </w:rPr>
        <w:drawing>
          <wp:anchor distT="0" distB="0" distL="114300" distR="114300" simplePos="0" relativeHeight="251677696" behindDoc="1" locked="0" layoutInCell="1" allowOverlap="1" wp14:anchorId="60F695A4" wp14:editId="6ED79336">
            <wp:simplePos x="0" y="0"/>
            <wp:positionH relativeFrom="column">
              <wp:posOffset>1620393</wp:posOffset>
            </wp:positionH>
            <wp:positionV relativeFrom="paragraph">
              <wp:posOffset>87630</wp:posOffset>
            </wp:positionV>
            <wp:extent cx="2804160" cy="1463040"/>
            <wp:effectExtent l="0" t="0" r="0" b="381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e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4160" cy="1463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33954B5" w14:textId="77777777" w:rsidR="00C03EC4" w:rsidRPr="002E75D4" w:rsidRDefault="00C03EC4" w:rsidP="00C03EC4">
      <w:pPr>
        <w:pStyle w:val="Corpsdetexte"/>
        <w:rPr>
          <w:b/>
          <w:sz w:val="28"/>
          <w:szCs w:val="28"/>
        </w:rPr>
      </w:pPr>
      <w:r w:rsidRPr="002E75D4">
        <w:t xml:space="preserve">                                              </w:t>
      </w:r>
      <w:r w:rsidRPr="002E75D4">
        <w:rPr>
          <w:b/>
          <w:sz w:val="28"/>
          <w:szCs w:val="28"/>
        </w:rPr>
        <w:t>Modibo KONE</w:t>
      </w:r>
    </w:p>
    <w:p w14:paraId="69735E92" w14:textId="77777777" w:rsidR="00C03EC4" w:rsidRPr="002E75D4" w:rsidRDefault="00C03EC4" w:rsidP="00C03EC4">
      <w:pPr>
        <w:pStyle w:val="Corpsdetexte"/>
        <w:jc w:val="center"/>
      </w:pPr>
    </w:p>
    <w:p w14:paraId="09FFF76F" w14:textId="77777777" w:rsidR="00C03EC4" w:rsidRPr="002E75D4" w:rsidRDefault="00C03EC4" w:rsidP="00C03EC4">
      <w:pPr>
        <w:pStyle w:val="Corpsdetexte"/>
        <w:jc w:val="center"/>
      </w:pPr>
    </w:p>
    <w:p w14:paraId="3BC4227C" w14:textId="77777777" w:rsidR="00C03EC4" w:rsidRPr="002E75D4" w:rsidRDefault="00C03EC4" w:rsidP="00C03EC4">
      <w:pPr>
        <w:pStyle w:val="Corpsdetexte"/>
        <w:jc w:val="center"/>
      </w:pPr>
    </w:p>
    <w:p w14:paraId="6E6BBB9F" w14:textId="77777777" w:rsidR="00C03EC4" w:rsidRPr="002E75D4" w:rsidRDefault="00C03EC4" w:rsidP="00C03EC4">
      <w:pPr>
        <w:pStyle w:val="Corpsdetexte"/>
      </w:pPr>
    </w:p>
    <w:p w14:paraId="3609B507" w14:textId="77777777" w:rsidR="00C03EC4" w:rsidRPr="002E75D4" w:rsidRDefault="00C03EC4" w:rsidP="00C03EC4">
      <w:pPr>
        <w:pStyle w:val="Corpsdetexte"/>
        <w:rPr>
          <w:rFonts w:asciiTheme="majorHAnsi" w:hAnsiTheme="majorHAnsi" w:cstheme="majorHAnsi"/>
        </w:rPr>
      </w:pPr>
    </w:p>
    <w:p w14:paraId="2D72A789" w14:textId="77777777" w:rsidR="00C03EC4" w:rsidRPr="002E75D4" w:rsidRDefault="00C03EC4" w:rsidP="00C03EC4">
      <w:pPr>
        <w:pStyle w:val="Corpsdetexte"/>
        <w:jc w:val="center"/>
        <w:rPr>
          <w:rFonts w:asciiTheme="majorHAnsi" w:hAnsiTheme="majorHAnsi" w:cstheme="majorHAnsi"/>
          <w:b/>
          <w:sz w:val="28"/>
          <w:szCs w:val="28"/>
        </w:rPr>
      </w:pPr>
      <w:r w:rsidRPr="002E75D4">
        <w:rPr>
          <w:rFonts w:asciiTheme="majorHAnsi" w:hAnsiTheme="majorHAnsi" w:cstheme="majorHAnsi"/>
          <w:b/>
          <w:sz w:val="28"/>
          <w:szCs w:val="28"/>
        </w:rPr>
        <w:t>Le Ministre de l’Environnement, de l’Assainissement et du Développement Durable</w:t>
      </w:r>
    </w:p>
    <w:p w14:paraId="2291EC04" w14:textId="77777777" w:rsidR="00C03EC4" w:rsidRPr="002E75D4" w:rsidRDefault="00C03EC4" w:rsidP="00C03EC4">
      <w:pPr>
        <w:spacing w:line="240" w:lineRule="auto"/>
        <w:jc w:val="both"/>
        <w:rPr>
          <w:rFonts w:asciiTheme="majorHAnsi" w:hAnsiTheme="majorHAnsi" w:cstheme="majorHAnsi"/>
          <w:b/>
          <w:sz w:val="48"/>
          <w:szCs w:val="48"/>
        </w:rPr>
      </w:pPr>
    </w:p>
    <w:p w14:paraId="5318269A" w14:textId="77777777" w:rsidR="00C03EC4" w:rsidRPr="002E75D4" w:rsidRDefault="00C03EC4" w:rsidP="00C03EC4">
      <w:pPr>
        <w:spacing w:line="240" w:lineRule="auto"/>
        <w:jc w:val="both"/>
        <w:rPr>
          <w:rFonts w:asciiTheme="majorHAnsi" w:hAnsiTheme="majorHAnsi" w:cstheme="majorHAnsi"/>
          <w:b/>
          <w:sz w:val="48"/>
          <w:szCs w:val="48"/>
        </w:rPr>
      </w:pPr>
    </w:p>
    <w:p w14:paraId="608DB0EB" w14:textId="77777777" w:rsidR="00C03EC4" w:rsidRPr="002E75D4" w:rsidRDefault="00C03EC4" w:rsidP="00C03EC4">
      <w:pPr>
        <w:spacing w:line="240" w:lineRule="auto"/>
        <w:jc w:val="both"/>
        <w:rPr>
          <w:rFonts w:asciiTheme="majorHAnsi" w:hAnsiTheme="majorHAnsi" w:cstheme="majorHAnsi"/>
          <w:b/>
          <w:sz w:val="48"/>
          <w:szCs w:val="48"/>
        </w:rPr>
      </w:pPr>
    </w:p>
    <w:p w14:paraId="36C91272" w14:textId="77777777" w:rsidR="00C03EC4" w:rsidRPr="002E75D4" w:rsidRDefault="00C03EC4" w:rsidP="00C03EC4">
      <w:pPr>
        <w:spacing w:line="240" w:lineRule="auto"/>
        <w:jc w:val="both"/>
        <w:rPr>
          <w:rFonts w:asciiTheme="majorHAnsi" w:hAnsiTheme="majorHAnsi" w:cstheme="majorHAnsi"/>
          <w:b/>
          <w:sz w:val="48"/>
          <w:szCs w:val="48"/>
        </w:rPr>
      </w:pPr>
    </w:p>
    <w:p w14:paraId="5AD5688B" w14:textId="77777777" w:rsidR="00C03EC4" w:rsidRPr="002E75D4" w:rsidRDefault="00C03EC4" w:rsidP="00C03EC4">
      <w:pPr>
        <w:spacing w:line="240" w:lineRule="auto"/>
        <w:jc w:val="both"/>
        <w:rPr>
          <w:rFonts w:asciiTheme="majorHAnsi" w:hAnsiTheme="majorHAnsi" w:cstheme="majorHAnsi"/>
          <w:b/>
          <w:sz w:val="48"/>
          <w:szCs w:val="48"/>
        </w:rPr>
      </w:pPr>
    </w:p>
    <w:p w14:paraId="48188120" w14:textId="77777777" w:rsidR="00C03EC4" w:rsidRPr="002E75D4" w:rsidRDefault="00C03EC4" w:rsidP="00C03EC4">
      <w:pPr>
        <w:spacing w:line="240" w:lineRule="auto"/>
        <w:jc w:val="both"/>
        <w:rPr>
          <w:rFonts w:asciiTheme="majorHAnsi" w:hAnsiTheme="majorHAnsi" w:cstheme="majorHAnsi"/>
          <w:b/>
          <w:sz w:val="48"/>
          <w:szCs w:val="48"/>
        </w:rPr>
      </w:pPr>
    </w:p>
    <w:p w14:paraId="6F1E804A" w14:textId="77777777" w:rsidR="00C03EC4" w:rsidRPr="002E75D4" w:rsidRDefault="00C03EC4" w:rsidP="00C03EC4">
      <w:pPr>
        <w:spacing w:line="240" w:lineRule="auto"/>
        <w:jc w:val="both"/>
        <w:rPr>
          <w:rFonts w:asciiTheme="majorHAnsi" w:hAnsiTheme="majorHAnsi" w:cstheme="majorHAnsi"/>
          <w:b/>
          <w:sz w:val="48"/>
          <w:szCs w:val="48"/>
        </w:rPr>
      </w:pPr>
    </w:p>
    <w:p w14:paraId="002C84A8" w14:textId="77777777" w:rsidR="00C03EC4" w:rsidRDefault="00C03EC4" w:rsidP="00C03EC4">
      <w:pPr>
        <w:spacing w:line="240" w:lineRule="auto"/>
        <w:jc w:val="both"/>
        <w:rPr>
          <w:rFonts w:asciiTheme="majorHAnsi" w:hAnsiTheme="majorHAnsi" w:cstheme="majorHAnsi"/>
          <w:b/>
          <w:sz w:val="48"/>
          <w:szCs w:val="48"/>
        </w:rPr>
      </w:pPr>
    </w:p>
    <w:p w14:paraId="46E9D88E" w14:textId="77777777" w:rsidR="00C03EC4" w:rsidRDefault="00C03EC4" w:rsidP="00C03EC4">
      <w:pPr>
        <w:spacing w:line="240" w:lineRule="auto"/>
        <w:jc w:val="both"/>
        <w:rPr>
          <w:rFonts w:asciiTheme="majorHAnsi" w:hAnsiTheme="majorHAnsi" w:cstheme="majorHAnsi"/>
          <w:b/>
          <w:sz w:val="48"/>
          <w:szCs w:val="48"/>
        </w:rPr>
      </w:pPr>
    </w:p>
    <w:p w14:paraId="142589EB" w14:textId="77777777" w:rsidR="00C03EC4" w:rsidRDefault="00C03EC4" w:rsidP="00C03EC4">
      <w:pPr>
        <w:spacing w:line="240" w:lineRule="auto"/>
        <w:jc w:val="both"/>
        <w:rPr>
          <w:rFonts w:cstheme="majorHAnsi"/>
          <w:b/>
          <w:sz w:val="34"/>
          <w:szCs w:val="34"/>
        </w:rPr>
      </w:pPr>
    </w:p>
    <w:p w14:paraId="7F28C56C" w14:textId="77777777" w:rsidR="00C03EC4" w:rsidRPr="00F24A9E" w:rsidRDefault="00C03EC4" w:rsidP="00C03EC4">
      <w:pPr>
        <w:spacing w:line="240" w:lineRule="auto"/>
        <w:jc w:val="both"/>
        <w:rPr>
          <w:rFonts w:cstheme="majorHAnsi"/>
          <w:b/>
          <w:sz w:val="36"/>
          <w:szCs w:val="36"/>
        </w:rPr>
      </w:pPr>
      <w:r w:rsidRPr="00F24A9E">
        <w:rPr>
          <w:rFonts w:cstheme="majorHAnsi"/>
          <w:b/>
          <w:sz w:val="36"/>
          <w:szCs w:val="36"/>
        </w:rPr>
        <w:t>INTRODUCTION</w:t>
      </w:r>
    </w:p>
    <w:p w14:paraId="5A2AC442" w14:textId="77777777" w:rsidR="00C03EC4" w:rsidRPr="002E75D4" w:rsidRDefault="00C03EC4" w:rsidP="00C03EC4">
      <w:pPr>
        <w:spacing w:after="120" w:line="240" w:lineRule="auto"/>
        <w:jc w:val="both"/>
        <w:rPr>
          <w:rFonts w:cstheme="minorHAnsi"/>
          <w:b/>
          <w:sz w:val="30"/>
          <w:szCs w:val="30"/>
        </w:rPr>
      </w:pPr>
      <w:r w:rsidRPr="002E75D4">
        <w:rPr>
          <w:rFonts w:cstheme="minorHAnsi"/>
          <w:b/>
          <w:sz w:val="30"/>
          <w:szCs w:val="30"/>
        </w:rPr>
        <w:t>Type de Contribution :</w:t>
      </w:r>
    </w:p>
    <w:tbl>
      <w:tblPr>
        <w:tblStyle w:val="Listecouleur-Accent4"/>
        <w:tblW w:w="5000" w:type="pct"/>
        <w:tblLook w:val="0420" w:firstRow="1" w:lastRow="0" w:firstColumn="0" w:lastColumn="0" w:noHBand="0" w:noVBand="1"/>
      </w:tblPr>
      <w:tblGrid>
        <w:gridCol w:w="2520"/>
        <w:gridCol w:w="7119"/>
      </w:tblGrid>
      <w:tr w:rsidR="00C03EC4" w:rsidRPr="00F53C5D" w14:paraId="606B4BE9" w14:textId="77777777" w:rsidTr="000D6136">
        <w:trPr>
          <w:cnfStyle w:val="100000000000" w:firstRow="1" w:lastRow="0" w:firstColumn="0" w:lastColumn="0" w:oddVBand="0" w:evenVBand="0" w:oddHBand="0" w:evenHBand="0" w:firstRowFirstColumn="0" w:firstRowLastColumn="0" w:lastRowFirstColumn="0" w:lastRowLastColumn="0"/>
          <w:trHeight w:val="283"/>
        </w:trPr>
        <w:tc>
          <w:tcPr>
            <w:tcW w:w="1307" w:type="pct"/>
            <w:shd w:val="clear" w:color="auto" w:fill="F2F2F2" w:themeFill="background1" w:themeFillShade="F2"/>
          </w:tcPr>
          <w:p w14:paraId="35B7F3EA" w14:textId="77777777" w:rsidR="00C03EC4" w:rsidRPr="00F53C5D" w:rsidRDefault="00C03EC4" w:rsidP="000D6136">
            <w:pPr>
              <w:pStyle w:val="Default"/>
              <w:spacing w:before="120"/>
              <w:rPr>
                <w:rFonts w:asciiTheme="majorHAnsi" w:hAnsiTheme="majorHAnsi" w:cstheme="majorHAnsi"/>
                <w:b w:val="0"/>
                <w:color w:val="auto"/>
                <w:sz w:val="20"/>
                <w:szCs w:val="22"/>
              </w:rPr>
            </w:pPr>
            <w:r w:rsidRPr="00F53C5D">
              <w:rPr>
                <w:rFonts w:asciiTheme="majorHAnsi" w:hAnsiTheme="majorHAnsi" w:cstheme="majorHAnsi"/>
                <w:b w:val="0"/>
                <w:color w:val="auto"/>
                <w:sz w:val="20"/>
                <w:szCs w:val="22"/>
              </w:rPr>
              <w:t>Nature des engagements</w:t>
            </w:r>
          </w:p>
        </w:tc>
        <w:tc>
          <w:tcPr>
            <w:tcW w:w="3693" w:type="pct"/>
            <w:shd w:val="clear" w:color="auto" w:fill="D9E2F3" w:themeFill="accent1" w:themeFillTint="33"/>
          </w:tcPr>
          <w:p w14:paraId="6D152CF9" w14:textId="77777777" w:rsidR="00C03EC4" w:rsidRPr="00F53C5D" w:rsidRDefault="00C03EC4" w:rsidP="000D6136">
            <w:pPr>
              <w:pStyle w:val="Default"/>
              <w:spacing w:before="60" w:after="60" w:line="276" w:lineRule="auto"/>
              <w:rPr>
                <w:rFonts w:asciiTheme="majorHAnsi" w:hAnsiTheme="majorHAnsi" w:cstheme="majorHAnsi"/>
                <w:b w:val="0"/>
                <w:color w:val="auto"/>
                <w:sz w:val="20"/>
                <w:szCs w:val="22"/>
              </w:rPr>
            </w:pPr>
            <w:r w:rsidRPr="00F53C5D">
              <w:rPr>
                <w:rFonts w:asciiTheme="majorHAnsi" w:hAnsiTheme="majorHAnsi" w:cstheme="majorHAnsi"/>
                <w:b w:val="0"/>
                <w:color w:val="auto"/>
                <w:sz w:val="20"/>
                <w:szCs w:val="22"/>
              </w:rPr>
              <w:t>Scénario d’atténuation basé sur la réduction des émissions de GES par rapport à un scénario de base reflétant la tendance normale des affaires (scenario Business-As-Usual BAU)</w:t>
            </w:r>
          </w:p>
        </w:tc>
      </w:tr>
      <w:tr w:rsidR="00C03EC4" w:rsidRPr="00F53C5D" w14:paraId="0669CA43" w14:textId="77777777" w:rsidTr="000D6136">
        <w:trPr>
          <w:cnfStyle w:val="000000100000" w:firstRow="0" w:lastRow="0" w:firstColumn="0" w:lastColumn="0" w:oddVBand="0" w:evenVBand="0" w:oddHBand="1" w:evenHBand="0" w:firstRowFirstColumn="0" w:firstRowLastColumn="0" w:lastRowFirstColumn="0" w:lastRowLastColumn="0"/>
          <w:trHeight w:val="283"/>
        </w:trPr>
        <w:tc>
          <w:tcPr>
            <w:tcW w:w="1307" w:type="pct"/>
            <w:shd w:val="clear" w:color="auto" w:fill="D9D9D9" w:themeFill="background1" w:themeFillShade="D9"/>
          </w:tcPr>
          <w:p w14:paraId="0F4C0270" w14:textId="77777777" w:rsidR="00C03EC4" w:rsidRPr="00F53C5D" w:rsidRDefault="00C03EC4" w:rsidP="000D6136">
            <w:pPr>
              <w:pStyle w:val="Default"/>
              <w:spacing w:before="120"/>
              <w:rPr>
                <w:rFonts w:asciiTheme="majorHAnsi" w:hAnsiTheme="majorHAnsi" w:cstheme="majorHAnsi"/>
                <w:color w:val="auto"/>
                <w:sz w:val="20"/>
                <w:szCs w:val="22"/>
              </w:rPr>
            </w:pPr>
            <w:r w:rsidRPr="00F53C5D">
              <w:rPr>
                <w:rFonts w:asciiTheme="majorHAnsi" w:hAnsiTheme="majorHAnsi" w:cstheme="majorHAnsi"/>
                <w:color w:val="auto"/>
                <w:sz w:val="20"/>
                <w:szCs w:val="22"/>
              </w:rPr>
              <w:t>Champ d’application</w:t>
            </w:r>
          </w:p>
        </w:tc>
        <w:tc>
          <w:tcPr>
            <w:tcW w:w="3693" w:type="pct"/>
            <w:shd w:val="clear" w:color="auto" w:fill="B4C6E7" w:themeFill="accent1" w:themeFillTint="66"/>
          </w:tcPr>
          <w:p w14:paraId="72063F87" w14:textId="77777777" w:rsidR="00C03EC4" w:rsidRPr="00F53C5D" w:rsidRDefault="00C03EC4" w:rsidP="000D6136">
            <w:pPr>
              <w:pStyle w:val="Default"/>
              <w:numPr>
                <w:ilvl w:val="0"/>
                <w:numId w:val="63"/>
              </w:numPr>
              <w:spacing w:before="120"/>
              <w:ind w:left="459"/>
              <w:rPr>
                <w:rFonts w:asciiTheme="majorHAnsi" w:hAnsiTheme="majorHAnsi" w:cstheme="majorHAnsi"/>
                <w:color w:val="auto"/>
                <w:sz w:val="20"/>
                <w:szCs w:val="22"/>
              </w:rPr>
            </w:pPr>
            <w:r w:rsidRPr="00F53C5D">
              <w:rPr>
                <w:rFonts w:asciiTheme="majorHAnsi" w:hAnsiTheme="majorHAnsi" w:cstheme="majorHAnsi"/>
                <w:color w:val="auto"/>
                <w:sz w:val="20"/>
                <w:szCs w:val="22"/>
              </w:rPr>
              <w:t>Ensemble des émissions de GES et des séquestrations de carbone sur le territoire national</w:t>
            </w:r>
          </w:p>
          <w:p w14:paraId="74C00AC3" w14:textId="77777777" w:rsidR="00C03EC4" w:rsidRPr="00F53C5D" w:rsidRDefault="00C03EC4" w:rsidP="000D6136">
            <w:pPr>
              <w:pStyle w:val="Default"/>
              <w:numPr>
                <w:ilvl w:val="0"/>
                <w:numId w:val="64"/>
              </w:numPr>
              <w:spacing w:before="120"/>
              <w:ind w:left="459"/>
              <w:rPr>
                <w:rFonts w:asciiTheme="majorHAnsi" w:hAnsiTheme="majorHAnsi" w:cstheme="majorHAnsi"/>
                <w:color w:val="auto"/>
                <w:sz w:val="20"/>
                <w:szCs w:val="22"/>
              </w:rPr>
            </w:pPr>
            <w:r w:rsidRPr="00F53C5D">
              <w:rPr>
                <w:rFonts w:asciiTheme="majorHAnsi" w:hAnsiTheme="majorHAnsi" w:cstheme="majorHAnsi"/>
                <w:color w:val="auto"/>
                <w:sz w:val="20"/>
                <w:szCs w:val="22"/>
              </w:rPr>
              <w:t>Adaptation pour l’ensemble du territoire national pour les secteurs concernés par le développement économique et social</w:t>
            </w:r>
          </w:p>
        </w:tc>
      </w:tr>
      <w:tr w:rsidR="00C03EC4" w:rsidRPr="00F53C5D" w14:paraId="75177CA0" w14:textId="77777777" w:rsidTr="000D6136">
        <w:trPr>
          <w:trHeight w:val="283"/>
        </w:trPr>
        <w:tc>
          <w:tcPr>
            <w:tcW w:w="1307" w:type="pct"/>
            <w:shd w:val="clear" w:color="auto" w:fill="F2F2F2" w:themeFill="background1" w:themeFillShade="F2"/>
          </w:tcPr>
          <w:p w14:paraId="238123B7" w14:textId="77777777" w:rsidR="00C03EC4" w:rsidRPr="00F53C5D" w:rsidRDefault="00C03EC4" w:rsidP="000D6136">
            <w:pPr>
              <w:pStyle w:val="Default"/>
              <w:spacing w:before="120"/>
              <w:rPr>
                <w:rFonts w:asciiTheme="majorHAnsi" w:hAnsiTheme="majorHAnsi" w:cstheme="majorHAnsi"/>
                <w:color w:val="auto"/>
                <w:sz w:val="20"/>
                <w:szCs w:val="22"/>
              </w:rPr>
            </w:pPr>
            <w:r w:rsidRPr="00F53C5D">
              <w:rPr>
                <w:rFonts w:asciiTheme="majorHAnsi" w:hAnsiTheme="majorHAnsi" w:cstheme="majorHAnsi"/>
                <w:color w:val="auto"/>
                <w:sz w:val="20"/>
                <w:szCs w:val="22"/>
              </w:rPr>
              <w:t>Gaz considérés</w:t>
            </w:r>
          </w:p>
        </w:tc>
        <w:tc>
          <w:tcPr>
            <w:tcW w:w="3693" w:type="pct"/>
            <w:shd w:val="clear" w:color="auto" w:fill="D9E2F3" w:themeFill="accent1" w:themeFillTint="33"/>
          </w:tcPr>
          <w:p w14:paraId="2C43DFE0" w14:textId="77777777" w:rsidR="00C03EC4" w:rsidRPr="00F53C5D" w:rsidRDefault="00C03EC4" w:rsidP="000D6136">
            <w:pPr>
              <w:pStyle w:val="Default"/>
              <w:rPr>
                <w:rFonts w:asciiTheme="majorHAnsi" w:hAnsiTheme="majorHAnsi" w:cstheme="majorHAnsi"/>
                <w:color w:val="auto"/>
                <w:sz w:val="20"/>
                <w:szCs w:val="22"/>
              </w:rPr>
            </w:pPr>
            <w:r w:rsidRPr="00F53C5D">
              <w:rPr>
                <w:rFonts w:asciiTheme="majorHAnsi" w:hAnsiTheme="majorHAnsi" w:cstheme="majorHAnsi"/>
                <w:color w:val="auto"/>
                <w:sz w:val="20"/>
                <w:szCs w:val="22"/>
              </w:rPr>
              <w:t>Dioxyde de carbone (CO2)</w:t>
            </w:r>
          </w:p>
          <w:p w14:paraId="42F05749" w14:textId="77777777" w:rsidR="00C03EC4" w:rsidRPr="00F53C5D" w:rsidRDefault="00C03EC4" w:rsidP="000D6136">
            <w:pPr>
              <w:pStyle w:val="Default"/>
              <w:rPr>
                <w:rFonts w:asciiTheme="majorHAnsi" w:hAnsiTheme="majorHAnsi" w:cstheme="majorHAnsi"/>
                <w:color w:val="auto"/>
                <w:sz w:val="20"/>
                <w:szCs w:val="22"/>
              </w:rPr>
            </w:pPr>
            <w:r w:rsidRPr="00F53C5D">
              <w:rPr>
                <w:rFonts w:asciiTheme="majorHAnsi" w:hAnsiTheme="majorHAnsi" w:cstheme="majorHAnsi"/>
                <w:color w:val="auto"/>
                <w:sz w:val="20"/>
                <w:szCs w:val="22"/>
              </w:rPr>
              <w:t>Méthane (CH4)</w:t>
            </w:r>
          </w:p>
          <w:p w14:paraId="19516D3B" w14:textId="77777777" w:rsidR="00C03EC4" w:rsidRPr="00F53C5D" w:rsidRDefault="00C03EC4" w:rsidP="000D6136">
            <w:pPr>
              <w:pStyle w:val="Default"/>
              <w:rPr>
                <w:rFonts w:asciiTheme="majorHAnsi" w:hAnsiTheme="majorHAnsi" w:cstheme="majorHAnsi"/>
                <w:color w:val="auto"/>
                <w:sz w:val="20"/>
                <w:szCs w:val="22"/>
              </w:rPr>
            </w:pPr>
            <w:r w:rsidRPr="00F53C5D">
              <w:rPr>
                <w:rFonts w:asciiTheme="majorHAnsi" w:hAnsiTheme="majorHAnsi" w:cstheme="majorHAnsi"/>
                <w:color w:val="auto"/>
                <w:sz w:val="20"/>
                <w:szCs w:val="22"/>
              </w:rPr>
              <w:t xml:space="preserve">Oxyde nitreux (N2O). </w:t>
            </w:r>
          </w:p>
          <w:p w14:paraId="63D81E83" w14:textId="77777777" w:rsidR="00C03EC4" w:rsidRPr="00F53C5D" w:rsidRDefault="00C03EC4" w:rsidP="000D6136">
            <w:pPr>
              <w:pStyle w:val="Default"/>
              <w:rPr>
                <w:rFonts w:asciiTheme="majorHAnsi" w:hAnsiTheme="majorHAnsi" w:cstheme="majorHAnsi"/>
                <w:color w:val="auto"/>
                <w:sz w:val="20"/>
                <w:szCs w:val="22"/>
              </w:rPr>
            </w:pPr>
            <w:r w:rsidRPr="00F53C5D">
              <w:rPr>
                <w:rFonts w:asciiTheme="majorHAnsi" w:hAnsiTheme="majorHAnsi" w:cstheme="majorHAnsi"/>
                <w:color w:val="auto"/>
                <w:sz w:val="20"/>
                <w:szCs w:val="22"/>
              </w:rPr>
              <w:t>Pour les polluants à courte durée de vie :  NOx, SO2 et le NH3</w:t>
            </w:r>
          </w:p>
        </w:tc>
      </w:tr>
      <w:tr w:rsidR="00C03EC4" w:rsidRPr="00F53C5D" w14:paraId="29B5E857" w14:textId="77777777" w:rsidTr="000D6136">
        <w:trPr>
          <w:cnfStyle w:val="000000100000" w:firstRow="0" w:lastRow="0" w:firstColumn="0" w:lastColumn="0" w:oddVBand="0" w:evenVBand="0" w:oddHBand="1" w:evenHBand="0" w:firstRowFirstColumn="0" w:firstRowLastColumn="0" w:lastRowFirstColumn="0" w:lastRowLastColumn="0"/>
          <w:trHeight w:val="283"/>
        </w:trPr>
        <w:tc>
          <w:tcPr>
            <w:tcW w:w="1307" w:type="pct"/>
            <w:shd w:val="clear" w:color="auto" w:fill="D9D9D9" w:themeFill="background1" w:themeFillShade="D9"/>
          </w:tcPr>
          <w:p w14:paraId="2114FBB1" w14:textId="77777777" w:rsidR="00C03EC4" w:rsidRPr="00F53C5D" w:rsidRDefault="00C03EC4" w:rsidP="000D6136">
            <w:pPr>
              <w:rPr>
                <w:rFonts w:asciiTheme="majorHAnsi" w:hAnsiTheme="majorHAnsi" w:cstheme="majorHAnsi"/>
                <w:color w:val="auto"/>
                <w:sz w:val="20"/>
              </w:rPr>
            </w:pPr>
            <w:r w:rsidRPr="00F53C5D">
              <w:rPr>
                <w:rFonts w:asciiTheme="majorHAnsi" w:hAnsiTheme="majorHAnsi" w:cstheme="majorHAnsi"/>
                <w:color w:val="auto"/>
                <w:sz w:val="20"/>
              </w:rPr>
              <w:t>Présentation des émissions</w:t>
            </w:r>
          </w:p>
        </w:tc>
        <w:tc>
          <w:tcPr>
            <w:tcW w:w="3693" w:type="pct"/>
            <w:shd w:val="clear" w:color="auto" w:fill="B4C6E7" w:themeFill="accent1" w:themeFillTint="66"/>
          </w:tcPr>
          <w:p w14:paraId="3D0868A1" w14:textId="77777777" w:rsidR="00C03EC4" w:rsidRPr="00F53C5D" w:rsidRDefault="00C03EC4" w:rsidP="000D6136">
            <w:pPr>
              <w:pStyle w:val="Default"/>
              <w:spacing w:before="120"/>
              <w:rPr>
                <w:rFonts w:asciiTheme="majorHAnsi" w:hAnsiTheme="majorHAnsi" w:cstheme="majorHAnsi"/>
                <w:color w:val="auto"/>
                <w:sz w:val="20"/>
                <w:szCs w:val="22"/>
              </w:rPr>
            </w:pPr>
            <w:r w:rsidRPr="00F53C5D">
              <w:rPr>
                <w:rFonts w:asciiTheme="majorHAnsi" w:hAnsiTheme="majorHAnsi" w:cstheme="majorHAnsi"/>
                <w:color w:val="auto"/>
                <w:sz w:val="20"/>
                <w:szCs w:val="22"/>
              </w:rPr>
              <w:t>Kilo tonne (kT) pour le CO2</w:t>
            </w:r>
          </w:p>
          <w:p w14:paraId="06A2AC3A" w14:textId="77777777" w:rsidR="00C03EC4" w:rsidRPr="00F53C5D" w:rsidRDefault="00C03EC4" w:rsidP="000D6136">
            <w:pPr>
              <w:pStyle w:val="Default"/>
              <w:rPr>
                <w:rFonts w:asciiTheme="majorHAnsi" w:hAnsiTheme="majorHAnsi" w:cstheme="majorHAnsi"/>
                <w:color w:val="auto"/>
                <w:sz w:val="20"/>
                <w:szCs w:val="22"/>
              </w:rPr>
            </w:pPr>
            <w:r w:rsidRPr="00F53C5D">
              <w:rPr>
                <w:rFonts w:asciiTheme="majorHAnsi" w:hAnsiTheme="majorHAnsi" w:cstheme="majorHAnsi"/>
                <w:color w:val="auto"/>
                <w:sz w:val="20"/>
                <w:szCs w:val="22"/>
              </w:rPr>
              <w:t>Kilo tonne équivalent de CO</w:t>
            </w:r>
            <w:r w:rsidRPr="00F53C5D">
              <w:rPr>
                <w:rFonts w:asciiTheme="majorHAnsi" w:hAnsiTheme="majorHAnsi" w:cstheme="majorHAnsi"/>
                <w:color w:val="auto"/>
                <w:sz w:val="20"/>
                <w:szCs w:val="22"/>
                <w:vertAlign w:val="subscript"/>
              </w:rPr>
              <w:t xml:space="preserve">2 </w:t>
            </w:r>
            <w:r w:rsidRPr="00F53C5D">
              <w:rPr>
                <w:rFonts w:asciiTheme="majorHAnsi" w:hAnsiTheme="majorHAnsi" w:cstheme="majorHAnsi"/>
                <w:color w:val="auto"/>
                <w:sz w:val="20"/>
                <w:szCs w:val="22"/>
              </w:rPr>
              <w:t>(kTeq CO</w:t>
            </w:r>
            <w:r w:rsidRPr="00F53C5D">
              <w:rPr>
                <w:rFonts w:asciiTheme="majorHAnsi" w:hAnsiTheme="majorHAnsi" w:cstheme="majorHAnsi"/>
                <w:color w:val="auto"/>
                <w:sz w:val="20"/>
                <w:szCs w:val="22"/>
                <w:vertAlign w:val="subscript"/>
              </w:rPr>
              <w:t>2</w:t>
            </w:r>
            <w:r w:rsidRPr="00F53C5D">
              <w:rPr>
                <w:rFonts w:asciiTheme="majorHAnsi" w:hAnsiTheme="majorHAnsi" w:cstheme="majorHAnsi"/>
                <w:color w:val="auto"/>
                <w:sz w:val="20"/>
                <w:szCs w:val="22"/>
              </w:rPr>
              <w:t>) pour les autres gaz</w:t>
            </w:r>
          </w:p>
        </w:tc>
      </w:tr>
      <w:tr w:rsidR="00C03EC4" w:rsidRPr="00F53C5D" w14:paraId="388C936C" w14:textId="77777777" w:rsidTr="000D6136">
        <w:trPr>
          <w:trHeight w:val="283"/>
        </w:trPr>
        <w:tc>
          <w:tcPr>
            <w:tcW w:w="1307" w:type="pct"/>
            <w:shd w:val="clear" w:color="auto" w:fill="F2F2F2" w:themeFill="background1" w:themeFillShade="F2"/>
          </w:tcPr>
          <w:p w14:paraId="429F1F15" w14:textId="77777777" w:rsidR="00C03EC4" w:rsidRPr="00F53C5D" w:rsidRDefault="00C03EC4" w:rsidP="000D6136">
            <w:pPr>
              <w:pStyle w:val="Default"/>
              <w:spacing w:before="120"/>
              <w:rPr>
                <w:rFonts w:asciiTheme="majorHAnsi" w:hAnsiTheme="majorHAnsi" w:cstheme="majorHAnsi"/>
                <w:color w:val="auto"/>
                <w:sz w:val="20"/>
                <w:szCs w:val="22"/>
              </w:rPr>
            </w:pPr>
            <w:r w:rsidRPr="00F53C5D">
              <w:rPr>
                <w:rFonts w:asciiTheme="majorHAnsi" w:hAnsiTheme="majorHAnsi" w:cstheme="majorHAnsi"/>
                <w:color w:val="auto"/>
                <w:sz w:val="20"/>
                <w:szCs w:val="22"/>
              </w:rPr>
              <w:t>Période de référence</w:t>
            </w:r>
          </w:p>
        </w:tc>
        <w:tc>
          <w:tcPr>
            <w:tcW w:w="3693" w:type="pct"/>
            <w:shd w:val="clear" w:color="auto" w:fill="D9E2F3" w:themeFill="accent1" w:themeFillTint="33"/>
          </w:tcPr>
          <w:p w14:paraId="6D783B6C" w14:textId="77777777" w:rsidR="00C03EC4" w:rsidRPr="00F53C5D" w:rsidRDefault="00C03EC4" w:rsidP="000D6136">
            <w:pPr>
              <w:pStyle w:val="Default"/>
              <w:spacing w:before="120"/>
              <w:rPr>
                <w:rFonts w:asciiTheme="majorHAnsi" w:hAnsiTheme="majorHAnsi" w:cstheme="majorHAnsi"/>
                <w:color w:val="auto"/>
                <w:sz w:val="20"/>
                <w:szCs w:val="22"/>
              </w:rPr>
            </w:pPr>
            <w:r w:rsidRPr="00F53C5D">
              <w:rPr>
                <w:rFonts w:asciiTheme="majorHAnsi" w:hAnsiTheme="majorHAnsi" w:cstheme="majorHAnsi"/>
                <w:color w:val="auto"/>
                <w:sz w:val="20"/>
                <w:szCs w:val="22"/>
              </w:rPr>
              <w:t>2015-2019</w:t>
            </w:r>
          </w:p>
        </w:tc>
      </w:tr>
      <w:tr w:rsidR="00C03EC4" w:rsidRPr="00F53C5D" w14:paraId="3E31C5FB" w14:textId="77777777" w:rsidTr="000D6136">
        <w:trPr>
          <w:cnfStyle w:val="000000100000" w:firstRow="0" w:lastRow="0" w:firstColumn="0" w:lastColumn="0" w:oddVBand="0" w:evenVBand="0" w:oddHBand="1" w:evenHBand="0" w:firstRowFirstColumn="0" w:firstRowLastColumn="0" w:lastRowFirstColumn="0" w:lastRowLastColumn="0"/>
          <w:trHeight w:val="283"/>
        </w:trPr>
        <w:tc>
          <w:tcPr>
            <w:tcW w:w="1307" w:type="pct"/>
            <w:shd w:val="clear" w:color="auto" w:fill="D9D9D9" w:themeFill="background1" w:themeFillShade="D9"/>
          </w:tcPr>
          <w:p w14:paraId="04007360" w14:textId="77777777" w:rsidR="00C03EC4" w:rsidRPr="00F53C5D" w:rsidRDefault="00C03EC4" w:rsidP="000D6136">
            <w:pPr>
              <w:pStyle w:val="Default"/>
              <w:spacing w:before="120"/>
              <w:rPr>
                <w:rFonts w:asciiTheme="majorHAnsi" w:hAnsiTheme="majorHAnsi" w:cstheme="majorHAnsi"/>
                <w:color w:val="auto"/>
                <w:sz w:val="20"/>
                <w:szCs w:val="22"/>
              </w:rPr>
            </w:pPr>
            <w:r w:rsidRPr="00F53C5D">
              <w:rPr>
                <w:rFonts w:asciiTheme="majorHAnsi" w:hAnsiTheme="majorHAnsi" w:cstheme="majorHAnsi"/>
                <w:color w:val="auto"/>
                <w:sz w:val="20"/>
                <w:szCs w:val="22"/>
              </w:rPr>
              <w:t>Période de mise en œuvre</w:t>
            </w:r>
          </w:p>
        </w:tc>
        <w:tc>
          <w:tcPr>
            <w:tcW w:w="3693" w:type="pct"/>
            <w:shd w:val="clear" w:color="auto" w:fill="B4C6E7" w:themeFill="accent1" w:themeFillTint="66"/>
          </w:tcPr>
          <w:p w14:paraId="2056D4E3" w14:textId="77777777" w:rsidR="00C03EC4" w:rsidRPr="00F53C5D" w:rsidRDefault="00C03EC4" w:rsidP="000D6136">
            <w:pPr>
              <w:pStyle w:val="Default"/>
              <w:spacing w:before="120"/>
              <w:rPr>
                <w:rFonts w:asciiTheme="majorHAnsi" w:hAnsiTheme="majorHAnsi" w:cstheme="majorHAnsi"/>
                <w:color w:val="auto"/>
                <w:sz w:val="20"/>
                <w:szCs w:val="22"/>
              </w:rPr>
            </w:pPr>
            <w:r w:rsidRPr="00F53C5D">
              <w:rPr>
                <w:rFonts w:asciiTheme="majorHAnsi" w:hAnsiTheme="majorHAnsi" w:cstheme="majorHAnsi"/>
                <w:color w:val="auto"/>
                <w:sz w:val="20"/>
                <w:szCs w:val="22"/>
              </w:rPr>
              <w:t>2020-2030 pour les scénarios de base et d’atténuation</w:t>
            </w:r>
          </w:p>
        </w:tc>
      </w:tr>
      <w:tr w:rsidR="00C03EC4" w:rsidRPr="00F53C5D" w14:paraId="558F2A7A" w14:textId="77777777" w:rsidTr="000D6136">
        <w:trPr>
          <w:trHeight w:val="283"/>
        </w:trPr>
        <w:tc>
          <w:tcPr>
            <w:tcW w:w="1307" w:type="pct"/>
            <w:shd w:val="clear" w:color="auto" w:fill="F2F2F2" w:themeFill="background1" w:themeFillShade="F2"/>
          </w:tcPr>
          <w:p w14:paraId="16850CE5" w14:textId="77777777" w:rsidR="00C03EC4" w:rsidRPr="00F53C5D" w:rsidRDefault="00C03EC4" w:rsidP="000D6136">
            <w:pPr>
              <w:pStyle w:val="Default"/>
              <w:spacing w:before="120"/>
              <w:rPr>
                <w:rFonts w:asciiTheme="majorHAnsi" w:hAnsiTheme="majorHAnsi" w:cstheme="majorHAnsi"/>
                <w:color w:val="auto"/>
                <w:sz w:val="20"/>
                <w:szCs w:val="22"/>
              </w:rPr>
            </w:pPr>
            <w:r w:rsidRPr="00F53C5D">
              <w:rPr>
                <w:rFonts w:asciiTheme="majorHAnsi" w:hAnsiTheme="majorHAnsi" w:cstheme="majorHAnsi"/>
                <w:color w:val="auto"/>
                <w:sz w:val="20"/>
                <w:szCs w:val="22"/>
              </w:rPr>
              <w:t>Méthodologie pour l’estimation des émissions</w:t>
            </w:r>
          </w:p>
        </w:tc>
        <w:tc>
          <w:tcPr>
            <w:tcW w:w="3693" w:type="pct"/>
            <w:shd w:val="clear" w:color="auto" w:fill="D9E2F3" w:themeFill="accent1" w:themeFillTint="33"/>
          </w:tcPr>
          <w:p w14:paraId="094C7773" w14:textId="77777777" w:rsidR="00C03EC4" w:rsidRPr="00F53C5D" w:rsidRDefault="00C03EC4" w:rsidP="000D6136">
            <w:pPr>
              <w:pStyle w:val="Default"/>
              <w:spacing w:before="120" w:after="120"/>
              <w:rPr>
                <w:rFonts w:asciiTheme="majorHAnsi" w:hAnsiTheme="majorHAnsi" w:cstheme="majorHAnsi"/>
                <w:color w:val="auto"/>
                <w:sz w:val="20"/>
                <w:szCs w:val="22"/>
              </w:rPr>
            </w:pPr>
            <w:r w:rsidRPr="00F53C5D">
              <w:rPr>
                <w:rFonts w:asciiTheme="majorHAnsi" w:hAnsiTheme="majorHAnsi" w:cstheme="majorHAnsi"/>
                <w:color w:val="auto"/>
                <w:sz w:val="20"/>
                <w:szCs w:val="22"/>
              </w:rPr>
              <w:t>Les inventaires des émissions de GES ont été réalisés suivant les lignes directrices du GIEC version 2006 du GIEC</w:t>
            </w:r>
          </w:p>
        </w:tc>
      </w:tr>
      <w:tr w:rsidR="00C03EC4" w:rsidRPr="00F53C5D" w14:paraId="4473C77A" w14:textId="77777777" w:rsidTr="000D6136">
        <w:trPr>
          <w:cnfStyle w:val="000000100000" w:firstRow="0" w:lastRow="0" w:firstColumn="0" w:lastColumn="0" w:oddVBand="0" w:evenVBand="0" w:oddHBand="1" w:evenHBand="0" w:firstRowFirstColumn="0" w:firstRowLastColumn="0" w:lastRowFirstColumn="0" w:lastRowLastColumn="0"/>
          <w:trHeight w:val="283"/>
        </w:trPr>
        <w:tc>
          <w:tcPr>
            <w:tcW w:w="1307" w:type="pct"/>
            <w:shd w:val="clear" w:color="auto" w:fill="D9D9D9" w:themeFill="background1" w:themeFillShade="D9"/>
          </w:tcPr>
          <w:p w14:paraId="705D70E5" w14:textId="77777777" w:rsidR="00C03EC4" w:rsidRPr="00F53C5D" w:rsidRDefault="00C03EC4" w:rsidP="000D6136">
            <w:pPr>
              <w:pStyle w:val="Default"/>
              <w:rPr>
                <w:rFonts w:asciiTheme="majorHAnsi" w:hAnsiTheme="majorHAnsi" w:cstheme="majorHAnsi"/>
                <w:color w:val="auto"/>
                <w:sz w:val="20"/>
                <w:szCs w:val="22"/>
              </w:rPr>
            </w:pPr>
            <w:r w:rsidRPr="00F53C5D">
              <w:rPr>
                <w:rFonts w:asciiTheme="majorHAnsi" w:hAnsiTheme="majorHAnsi" w:cstheme="majorHAnsi"/>
                <w:color w:val="auto"/>
                <w:sz w:val="20"/>
                <w:szCs w:val="22"/>
              </w:rPr>
              <w:t>Secteurs couverts</w:t>
            </w:r>
          </w:p>
        </w:tc>
        <w:tc>
          <w:tcPr>
            <w:tcW w:w="3693" w:type="pct"/>
            <w:shd w:val="clear" w:color="auto" w:fill="B4C6E7" w:themeFill="accent1" w:themeFillTint="66"/>
          </w:tcPr>
          <w:p w14:paraId="4BC0F495" w14:textId="77777777" w:rsidR="00C03EC4" w:rsidRPr="00F53C5D" w:rsidRDefault="00C03EC4" w:rsidP="000D6136">
            <w:pPr>
              <w:pStyle w:val="Default"/>
              <w:spacing w:after="120"/>
              <w:rPr>
                <w:rFonts w:asciiTheme="majorHAnsi" w:hAnsiTheme="majorHAnsi" w:cstheme="majorHAnsi"/>
                <w:color w:val="auto"/>
                <w:sz w:val="20"/>
                <w:szCs w:val="22"/>
              </w:rPr>
            </w:pPr>
            <w:r w:rsidRPr="00F53C5D">
              <w:rPr>
                <w:rFonts w:asciiTheme="majorHAnsi" w:hAnsiTheme="majorHAnsi" w:cstheme="majorHAnsi"/>
                <w:color w:val="auto"/>
                <w:sz w:val="20"/>
                <w:szCs w:val="22"/>
              </w:rPr>
              <w:t>Energie – Agriculture – changements d’Affectation des Terres et Foresterie - Déchets</w:t>
            </w:r>
          </w:p>
        </w:tc>
      </w:tr>
    </w:tbl>
    <w:p w14:paraId="28B87ADF" w14:textId="77777777" w:rsidR="00C03EC4" w:rsidRPr="002E75D4" w:rsidRDefault="00C03EC4" w:rsidP="00C03EC4">
      <w:pPr>
        <w:spacing w:after="0" w:line="240" w:lineRule="auto"/>
        <w:jc w:val="both"/>
        <w:rPr>
          <w:rFonts w:asciiTheme="majorHAnsi" w:hAnsiTheme="majorHAnsi" w:cstheme="majorHAnsi"/>
        </w:rPr>
      </w:pPr>
    </w:p>
    <w:p w14:paraId="484E97E6" w14:textId="77777777" w:rsidR="00C03EC4" w:rsidRPr="002E75D4" w:rsidRDefault="00C03EC4" w:rsidP="00C03EC4">
      <w:pPr>
        <w:spacing w:after="0" w:line="240" w:lineRule="auto"/>
        <w:jc w:val="both"/>
        <w:rPr>
          <w:rFonts w:cstheme="minorHAnsi"/>
          <w:b/>
          <w:sz w:val="28"/>
          <w:szCs w:val="28"/>
        </w:rPr>
      </w:pPr>
      <w:r w:rsidRPr="002E75D4">
        <w:rPr>
          <w:rFonts w:cstheme="minorHAnsi"/>
          <w:b/>
          <w:sz w:val="28"/>
          <w:szCs w:val="28"/>
        </w:rPr>
        <w:t>Ambition du Mali </w:t>
      </w:r>
    </w:p>
    <w:p w14:paraId="0A26390F" w14:textId="77777777" w:rsidR="00C03EC4" w:rsidRPr="002E75D4" w:rsidRDefault="00C03EC4" w:rsidP="00C03EC4">
      <w:pPr>
        <w:spacing w:after="0" w:line="240" w:lineRule="auto"/>
        <w:jc w:val="both"/>
        <w:rPr>
          <w:rFonts w:asciiTheme="majorHAnsi" w:hAnsiTheme="majorHAnsi" w:cstheme="majorHAnsi"/>
          <w:sz w:val="10"/>
          <w:szCs w:val="28"/>
        </w:rPr>
      </w:pPr>
    </w:p>
    <w:p w14:paraId="7767BA81" w14:textId="77777777" w:rsidR="00C03EC4" w:rsidRPr="002E75D4" w:rsidRDefault="00C03EC4" w:rsidP="00C03EC4">
      <w:pPr>
        <w:spacing w:after="0" w:line="240" w:lineRule="auto"/>
        <w:jc w:val="both"/>
        <w:rPr>
          <w:rFonts w:asciiTheme="majorHAnsi" w:hAnsiTheme="majorHAnsi" w:cstheme="majorHAnsi"/>
          <w:sz w:val="24"/>
        </w:rPr>
      </w:pPr>
      <w:r w:rsidRPr="002E75D4">
        <w:rPr>
          <w:rFonts w:asciiTheme="majorHAnsi" w:hAnsiTheme="majorHAnsi" w:cstheme="majorHAnsi"/>
          <w:sz w:val="24"/>
        </w:rPr>
        <w:t>Le Mali est un puits de carbone et le restera sur les bases actuelles au-delà de 2030. Cependant, le Mali considère qu’il doit contribuer au maximum de ses possibilités à l’ambition collective de limiter d’ici à la fin du siècle l’augmentation de la température globale sous 2°C, et si possible 1,5 °C par rapport à l’ère industrielle afin de limiter dans le pays, les impacts négatifs des changements climatiques sur l’agriculture et sur l’occurrence des risques et catastrophes naturelles (sécheresses, inondations, feux de brousse).</w:t>
      </w:r>
    </w:p>
    <w:p w14:paraId="616AE0B2" w14:textId="77777777" w:rsidR="00C03EC4" w:rsidRPr="002E75D4" w:rsidRDefault="00C03EC4" w:rsidP="00C03EC4">
      <w:pPr>
        <w:spacing w:after="0" w:line="240" w:lineRule="auto"/>
        <w:jc w:val="both"/>
        <w:rPr>
          <w:rFonts w:asciiTheme="majorHAnsi" w:hAnsiTheme="majorHAnsi" w:cstheme="majorHAnsi"/>
          <w:sz w:val="10"/>
        </w:rPr>
      </w:pPr>
    </w:p>
    <w:p w14:paraId="5C3AF3FD"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bookmarkStart w:id="1" w:name="_Hlk76379174"/>
      <w:r w:rsidRPr="002E75D4">
        <w:rPr>
          <w:rFonts w:asciiTheme="majorHAnsi" w:hAnsiTheme="majorHAnsi" w:cstheme="majorHAnsi"/>
          <w:sz w:val="24"/>
          <w:szCs w:val="24"/>
        </w:rPr>
        <w:t>Le niveau des ambitions de réduction des GES du scénario d’atténuation par rapport au scénario de base en 2030 est de :</w:t>
      </w:r>
    </w:p>
    <w:p w14:paraId="5CAF1D41" w14:textId="77777777" w:rsidR="00C03EC4" w:rsidRPr="002E75D4" w:rsidRDefault="00C03EC4" w:rsidP="00C03EC4">
      <w:pPr>
        <w:pStyle w:val="Paragraphedeliste"/>
        <w:numPr>
          <w:ilvl w:val="0"/>
          <w:numId w:val="27"/>
        </w:num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31% pour le secteur énergie ; </w:t>
      </w:r>
    </w:p>
    <w:p w14:paraId="4502397A" w14:textId="77777777" w:rsidR="00C03EC4" w:rsidRPr="002E75D4" w:rsidRDefault="00C03EC4" w:rsidP="00C03EC4">
      <w:pPr>
        <w:pStyle w:val="Paragraphedeliste"/>
        <w:numPr>
          <w:ilvl w:val="0"/>
          <w:numId w:val="27"/>
        </w:num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25% pour le secteur agriculture ; </w:t>
      </w:r>
    </w:p>
    <w:p w14:paraId="0163E89F" w14:textId="77777777" w:rsidR="00C03EC4" w:rsidRPr="002E75D4" w:rsidRDefault="00C03EC4" w:rsidP="00C03EC4">
      <w:pPr>
        <w:pStyle w:val="Paragraphedeliste"/>
        <w:numPr>
          <w:ilvl w:val="0"/>
          <w:numId w:val="27"/>
        </w:num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39% pour le secteur forêts et changement d’affectation des terres ; </w:t>
      </w:r>
    </w:p>
    <w:p w14:paraId="70DFD36E" w14:textId="77777777" w:rsidR="00C03EC4" w:rsidRPr="002E75D4" w:rsidRDefault="00C03EC4" w:rsidP="00C03EC4">
      <w:pPr>
        <w:pStyle w:val="Paragraphedeliste"/>
        <w:numPr>
          <w:ilvl w:val="0"/>
          <w:numId w:val="27"/>
        </w:num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31% pour le secteur déchets.</w:t>
      </w:r>
    </w:p>
    <w:p w14:paraId="55BF2197" w14:textId="77777777" w:rsidR="00C03EC4" w:rsidRPr="002E75D4" w:rsidRDefault="00C03EC4" w:rsidP="00C03EC4">
      <w:pPr>
        <w:pStyle w:val="Paragraphedeliste"/>
        <w:tabs>
          <w:tab w:val="left" w:pos="9356"/>
        </w:tabs>
        <w:spacing w:after="0" w:line="240" w:lineRule="auto"/>
        <w:jc w:val="both"/>
        <w:rPr>
          <w:rFonts w:asciiTheme="majorHAnsi" w:hAnsiTheme="majorHAnsi" w:cstheme="majorHAnsi"/>
          <w:sz w:val="24"/>
          <w:szCs w:val="24"/>
        </w:rPr>
      </w:pPr>
    </w:p>
    <w:p w14:paraId="20788230"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La synthèse des émissions et des séquestrations à l’horizon 2030 donne une réduction de 40% de ces émissions totales. </w:t>
      </w:r>
    </w:p>
    <w:p w14:paraId="4A27273B"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scénario d’atténuation implique des actions ambitieuses favorables au développement du pays et à l’amélioration des systèmes de production notamment : l’accélération de la prise en compte des énergies renouvelables dans le mix énergétique, l’amélioration des performances des processus de production agricole, la réduction de la déforestation et le reboisement intensif</w:t>
      </w:r>
      <w:bookmarkEnd w:id="1"/>
      <w:r w:rsidRPr="002E75D4">
        <w:rPr>
          <w:rFonts w:asciiTheme="majorHAnsi" w:hAnsiTheme="majorHAnsi" w:cstheme="majorHAnsi"/>
          <w:sz w:val="24"/>
          <w:szCs w:val="24"/>
        </w:rPr>
        <w:t>.</w:t>
      </w:r>
    </w:p>
    <w:p w14:paraId="5B18DA53"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637C7E76"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3A0C6CAE"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09B213B3"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anchor distT="0" distB="0" distL="114300" distR="114300" simplePos="0" relativeHeight="251666432" behindDoc="1" locked="0" layoutInCell="1" allowOverlap="1" wp14:anchorId="5F376844" wp14:editId="6BA7D709">
            <wp:simplePos x="0" y="0"/>
            <wp:positionH relativeFrom="column">
              <wp:posOffset>-720725</wp:posOffset>
            </wp:positionH>
            <wp:positionV relativeFrom="paragraph">
              <wp:posOffset>-1942033</wp:posOffset>
            </wp:positionV>
            <wp:extent cx="7564755" cy="12692380"/>
            <wp:effectExtent l="57150" t="57150" r="55245" b="5207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1089_vector-background-design-red.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4755" cy="12692380"/>
                    </a:xfrm>
                    <a:prstGeom prst="rect">
                      <a:avLst/>
                    </a:prstGeom>
                    <a:solidFill>
                      <a:srgbClr val="FFFFFF">
                        <a:shade val="85000"/>
                      </a:srgbClr>
                    </a:solidFill>
                    <a:ln w="190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14:paraId="0FAA6E41"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18547E3F"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7C7BE710"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385C4926"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476F05DB"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09406E3D"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07D1DF2C"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196B59A1"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465A2345"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0B07E73C"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493EA21E"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02DE3105"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210B314F" w14:textId="77777777" w:rsidR="00C03EC4" w:rsidRPr="002E75D4" w:rsidRDefault="00C03EC4" w:rsidP="00C03EC4">
      <w:pPr>
        <w:tabs>
          <w:tab w:val="left" w:pos="9356"/>
        </w:tabs>
        <w:spacing w:after="0" w:line="240" w:lineRule="auto"/>
        <w:jc w:val="both"/>
        <w:rPr>
          <w:rFonts w:asciiTheme="majorHAnsi" w:hAnsiTheme="majorHAnsi" w:cstheme="majorHAnsi"/>
          <w:sz w:val="24"/>
          <w:szCs w:val="24"/>
        </w:rPr>
      </w:pPr>
    </w:p>
    <w:p w14:paraId="456F68C9" w14:textId="77777777" w:rsidR="00C03EC4" w:rsidRPr="002E75D4" w:rsidRDefault="00C03EC4" w:rsidP="00C03EC4">
      <w:pPr>
        <w:spacing w:before="120" w:after="120" w:line="240" w:lineRule="auto"/>
        <w:ind w:right="-58"/>
        <w:jc w:val="right"/>
        <w:rPr>
          <w:rFonts w:asciiTheme="majorHAnsi" w:hAnsiTheme="majorHAnsi" w:cstheme="majorHAnsi"/>
          <w:sz w:val="24"/>
          <w:szCs w:val="24"/>
        </w:rPr>
      </w:pPr>
    </w:p>
    <w:p w14:paraId="5E13C3A1" w14:textId="77777777" w:rsidR="00C03EC4" w:rsidRPr="002E75D4" w:rsidRDefault="00C03EC4" w:rsidP="00C03EC4">
      <w:pPr>
        <w:spacing w:before="120" w:after="120" w:line="240" w:lineRule="auto"/>
        <w:ind w:right="-58"/>
        <w:jc w:val="right"/>
        <w:rPr>
          <w:rFonts w:asciiTheme="majorHAnsi" w:hAnsiTheme="majorHAnsi" w:cstheme="majorHAnsi"/>
          <w:sz w:val="24"/>
          <w:szCs w:val="24"/>
        </w:rPr>
      </w:pPr>
    </w:p>
    <w:p w14:paraId="3744E4CF" w14:textId="77777777" w:rsidR="00C03EC4" w:rsidRPr="002E75D4" w:rsidRDefault="00C03EC4" w:rsidP="00C03EC4">
      <w:pPr>
        <w:spacing w:before="120" w:after="120" w:line="240" w:lineRule="auto"/>
        <w:ind w:right="-58"/>
        <w:jc w:val="right"/>
        <w:rPr>
          <w:rFonts w:asciiTheme="majorHAnsi" w:hAnsiTheme="majorHAnsi" w:cstheme="majorHAnsi"/>
          <w:sz w:val="24"/>
          <w:szCs w:val="24"/>
        </w:rPr>
      </w:pPr>
    </w:p>
    <w:p w14:paraId="690AB390" w14:textId="77777777" w:rsidR="00C03EC4" w:rsidRPr="002E75D4" w:rsidRDefault="00C03EC4" w:rsidP="00C03EC4">
      <w:pPr>
        <w:spacing w:before="120" w:after="120" w:line="240" w:lineRule="auto"/>
        <w:ind w:right="-58"/>
        <w:rPr>
          <w:rFonts w:asciiTheme="majorHAnsi" w:hAnsiTheme="majorHAnsi" w:cstheme="majorHAnsi"/>
          <w:sz w:val="24"/>
          <w:szCs w:val="24"/>
        </w:rPr>
      </w:pPr>
    </w:p>
    <w:p w14:paraId="5A977766" w14:textId="77777777" w:rsidR="00C03EC4" w:rsidRPr="00F24A9E" w:rsidRDefault="00C03EC4" w:rsidP="00C03EC4">
      <w:pPr>
        <w:spacing w:before="120" w:after="120" w:line="240" w:lineRule="auto"/>
        <w:ind w:right="-58"/>
        <w:rPr>
          <w:rFonts w:cstheme="minorHAnsi"/>
          <w:b/>
          <w:sz w:val="120"/>
          <w:szCs w:val="120"/>
        </w:rPr>
      </w:pPr>
      <w:r w:rsidRPr="00F24A9E">
        <w:rPr>
          <w:rFonts w:cstheme="minorHAnsi"/>
          <w:b/>
          <w:sz w:val="120"/>
          <w:szCs w:val="120"/>
        </w:rPr>
        <w:t>CHAPITRE I </w:t>
      </w:r>
    </w:p>
    <w:p w14:paraId="7FCC66F5" w14:textId="77777777" w:rsidR="00C03EC4" w:rsidRPr="00F24A9E" w:rsidRDefault="00C03EC4" w:rsidP="00C03EC4">
      <w:pPr>
        <w:spacing w:before="120" w:after="120" w:line="240" w:lineRule="auto"/>
        <w:ind w:right="-58"/>
        <w:rPr>
          <w:rFonts w:cstheme="minorHAnsi"/>
          <w:b/>
          <w:bCs/>
          <w:sz w:val="36"/>
          <w:szCs w:val="36"/>
        </w:rPr>
      </w:pPr>
      <w:r w:rsidRPr="00F24A9E">
        <w:rPr>
          <w:rFonts w:cstheme="minorHAnsi"/>
          <w:b/>
          <w:bCs/>
          <w:sz w:val="36"/>
          <w:szCs w:val="36"/>
        </w:rPr>
        <w:t>SITUATION DU MALI FACE AUX CHANGEMENTS CLIMATIQUES</w:t>
      </w:r>
    </w:p>
    <w:p w14:paraId="5F96BC37" w14:textId="77777777" w:rsidR="00C03EC4" w:rsidRPr="002E75D4" w:rsidRDefault="00C03EC4" w:rsidP="00C03EC4">
      <w:pPr>
        <w:spacing w:before="120" w:after="120" w:line="240" w:lineRule="auto"/>
        <w:ind w:right="-58"/>
        <w:jc w:val="both"/>
        <w:rPr>
          <w:rFonts w:asciiTheme="majorHAnsi" w:hAnsiTheme="majorHAnsi" w:cstheme="majorHAnsi"/>
          <w:sz w:val="52"/>
          <w:szCs w:val="52"/>
        </w:rPr>
      </w:pPr>
    </w:p>
    <w:p w14:paraId="34BF6385" w14:textId="77777777" w:rsidR="00C03EC4" w:rsidRPr="002E75D4" w:rsidRDefault="00C03EC4" w:rsidP="00C03EC4">
      <w:pPr>
        <w:spacing w:before="120" w:after="120" w:line="240" w:lineRule="auto"/>
        <w:ind w:right="-58"/>
        <w:jc w:val="right"/>
        <w:rPr>
          <w:rFonts w:asciiTheme="majorHAnsi" w:hAnsiTheme="majorHAnsi" w:cstheme="majorHAnsi"/>
          <w:sz w:val="52"/>
          <w:szCs w:val="52"/>
        </w:rPr>
      </w:pPr>
    </w:p>
    <w:p w14:paraId="2D59C17B" w14:textId="77777777" w:rsidR="00C03EC4" w:rsidRPr="002E75D4" w:rsidRDefault="00C03EC4" w:rsidP="00C03EC4">
      <w:pPr>
        <w:pStyle w:val="Paragraphedeliste"/>
        <w:spacing w:before="240" w:after="120" w:line="240" w:lineRule="auto"/>
        <w:jc w:val="both"/>
        <w:rPr>
          <w:rFonts w:asciiTheme="majorHAnsi" w:hAnsiTheme="majorHAnsi" w:cstheme="majorHAnsi"/>
          <w:sz w:val="28"/>
          <w:szCs w:val="24"/>
        </w:rPr>
      </w:pPr>
    </w:p>
    <w:p w14:paraId="67604F31" w14:textId="77777777" w:rsidR="00C03EC4" w:rsidRPr="002E75D4" w:rsidRDefault="00C03EC4" w:rsidP="00C03EC4">
      <w:pPr>
        <w:pStyle w:val="Paragraphedeliste"/>
        <w:spacing w:before="240" w:after="120" w:line="240" w:lineRule="auto"/>
        <w:jc w:val="both"/>
        <w:rPr>
          <w:rFonts w:asciiTheme="majorHAnsi" w:hAnsiTheme="majorHAnsi" w:cstheme="majorHAnsi"/>
          <w:sz w:val="28"/>
          <w:szCs w:val="24"/>
        </w:rPr>
      </w:pPr>
    </w:p>
    <w:p w14:paraId="74CAFDE3" w14:textId="77777777" w:rsidR="00C03EC4" w:rsidRPr="002E75D4" w:rsidRDefault="00C03EC4" w:rsidP="00C03EC4">
      <w:pPr>
        <w:pStyle w:val="Paragraphedeliste"/>
        <w:spacing w:before="240" w:after="120" w:line="240" w:lineRule="auto"/>
        <w:jc w:val="both"/>
        <w:rPr>
          <w:rFonts w:asciiTheme="majorHAnsi" w:hAnsiTheme="majorHAnsi" w:cstheme="majorHAnsi"/>
          <w:sz w:val="28"/>
          <w:szCs w:val="24"/>
        </w:rPr>
      </w:pPr>
    </w:p>
    <w:p w14:paraId="2A7AEDAB" w14:textId="77777777" w:rsidR="00C03EC4" w:rsidRPr="002E75D4" w:rsidRDefault="00C03EC4" w:rsidP="00C03EC4">
      <w:pPr>
        <w:pStyle w:val="Paragraphedeliste"/>
        <w:spacing w:before="240" w:after="120" w:line="240" w:lineRule="auto"/>
        <w:jc w:val="both"/>
        <w:rPr>
          <w:rFonts w:asciiTheme="majorHAnsi" w:hAnsiTheme="majorHAnsi" w:cstheme="majorHAnsi"/>
          <w:sz w:val="28"/>
          <w:szCs w:val="24"/>
        </w:rPr>
      </w:pPr>
    </w:p>
    <w:p w14:paraId="48FC8ADE" w14:textId="77777777" w:rsidR="00C03EC4" w:rsidRPr="002E75D4" w:rsidRDefault="00C03EC4" w:rsidP="00C03EC4">
      <w:pPr>
        <w:pStyle w:val="Paragraphedeliste"/>
        <w:spacing w:before="240" w:after="120" w:line="240" w:lineRule="auto"/>
        <w:jc w:val="both"/>
        <w:rPr>
          <w:rFonts w:asciiTheme="majorHAnsi" w:hAnsiTheme="majorHAnsi" w:cstheme="majorHAnsi"/>
          <w:sz w:val="28"/>
          <w:szCs w:val="24"/>
        </w:rPr>
      </w:pPr>
    </w:p>
    <w:p w14:paraId="1B684702" w14:textId="77777777" w:rsidR="00C03EC4" w:rsidRPr="002E75D4" w:rsidRDefault="00C03EC4" w:rsidP="00C03EC4">
      <w:pPr>
        <w:pStyle w:val="Paragraphedeliste"/>
        <w:spacing w:before="240" w:after="120" w:line="240" w:lineRule="auto"/>
        <w:jc w:val="both"/>
        <w:rPr>
          <w:rFonts w:asciiTheme="majorHAnsi" w:hAnsiTheme="majorHAnsi" w:cstheme="majorHAnsi"/>
          <w:sz w:val="28"/>
          <w:szCs w:val="24"/>
        </w:rPr>
      </w:pPr>
    </w:p>
    <w:p w14:paraId="0A78E1D6" w14:textId="77777777" w:rsidR="00C03EC4" w:rsidRDefault="00C03EC4" w:rsidP="00C03EC4">
      <w:pPr>
        <w:spacing w:before="240" w:after="120" w:line="240" w:lineRule="auto"/>
        <w:jc w:val="both"/>
        <w:rPr>
          <w:rFonts w:asciiTheme="majorHAnsi" w:hAnsiTheme="majorHAnsi" w:cstheme="majorHAnsi"/>
          <w:sz w:val="28"/>
          <w:szCs w:val="24"/>
        </w:rPr>
      </w:pPr>
    </w:p>
    <w:p w14:paraId="5A7C7481" w14:textId="77777777" w:rsidR="00C03EC4" w:rsidRDefault="00C03EC4" w:rsidP="00C03EC4">
      <w:pPr>
        <w:spacing w:before="240" w:after="120" w:line="240" w:lineRule="auto"/>
        <w:jc w:val="both"/>
        <w:rPr>
          <w:rFonts w:asciiTheme="majorHAnsi" w:hAnsiTheme="majorHAnsi" w:cstheme="majorHAnsi"/>
          <w:sz w:val="28"/>
          <w:szCs w:val="24"/>
        </w:rPr>
      </w:pPr>
    </w:p>
    <w:p w14:paraId="738E67AE" w14:textId="77777777" w:rsidR="00C03EC4" w:rsidRDefault="00C03EC4" w:rsidP="00C03EC4">
      <w:pPr>
        <w:spacing w:before="240" w:after="120" w:line="240" w:lineRule="auto"/>
        <w:jc w:val="both"/>
        <w:rPr>
          <w:rFonts w:asciiTheme="majorHAnsi" w:hAnsiTheme="majorHAnsi" w:cstheme="majorHAnsi"/>
          <w:sz w:val="28"/>
          <w:szCs w:val="24"/>
        </w:rPr>
      </w:pPr>
    </w:p>
    <w:p w14:paraId="392C70DA" w14:textId="77777777" w:rsidR="00C03EC4" w:rsidRPr="002E75D4" w:rsidRDefault="00C03EC4" w:rsidP="00C03EC4">
      <w:pPr>
        <w:spacing w:before="240" w:after="120" w:line="240" w:lineRule="auto"/>
        <w:jc w:val="both"/>
        <w:rPr>
          <w:rFonts w:asciiTheme="majorHAnsi" w:hAnsiTheme="majorHAnsi" w:cstheme="majorHAnsi"/>
          <w:sz w:val="28"/>
          <w:szCs w:val="24"/>
        </w:rPr>
      </w:pPr>
    </w:p>
    <w:p w14:paraId="78F231BC" w14:textId="77777777" w:rsidR="00C03EC4" w:rsidRPr="00A021BD" w:rsidRDefault="00C03EC4" w:rsidP="00C03EC4">
      <w:pPr>
        <w:pStyle w:val="Paragraphedeliste"/>
        <w:numPr>
          <w:ilvl w:val="1"/>
          <w:numId w:val="3"/>
        </w:numPr>
        <w:spacing w:before="240" w:after="120" w:line="240" w:lineRule="auto"/>
        <w:jc w:val="both"/>
        <w:rPr>
          <w:rFonts w:asciiTheme="majorHAnsi" w:hAnsiTheme="majorHAnsi" w:cstheme="majorHAnsi"/>
          <w:b/>
          <w:sz w:val="34"/>
          <w:szCs w:val="34"/>
        </w:rPr>
      </w:pPr>
      <w:r w:rsidRPr="00A021BD">
        <w:rPr>
          <w:rFonts w:asciiTheme="majorHAnsi" w:hAnsiTheme="majorHAnsi" w:cstheme="majorHAnsi"/>
          <w:b/>
          <w:sz w:val="34"/>
          <w:szCs w:val="34"/>
        </w:rPr>
        <w:t xml:space="preserve">INDICATEURS MACROECONOMIQUES </w:t>
      </w:r>
    </w:p>
    <w:p w14:paraId="7E6AF1A1" w14:textId="77777777" w:rsidR="00C03EC4" w:rsidRPr="002E75D4" w:rsidRDefault="00C03EC4" w:rsidP="00C03EC4">
      <w:pPr>
        <w:pStyle w:val="Paragraphedeliste"/>
        <w:spacing w:after="0" w:line="240" w:lineRule="auto"/>
        <w:contextualSpacing w:val="0"/>
        <w:jc w:val="both"/>
        <w:rPr>
          <w:rFonts w:asciiTheme="majorHAnsi" w:hAnsiTheme="majorHAnsi" w:cstheme="majorHAnsi"/>
          <w:sz w:val="24"/>
          <w:szCs w:val="24"/>
        </w:rPr>
      </w:pPr>
    </w:p>
    <w:tbl>
      <w:tblPr>
        <w:tblStyle w:val="Grillemoyenne3-Accent1"/>
        <w:tblW w:w="0" w:type="auto"/>
        <w:tblLayout w:type="fixed"/>
        <w:tblLook w:val="0520" w:firstRow="1" w:lastRow="0" w:firstColumn="0" w:lastColumn="1" w:noHBand="0" w:noVBand="1"/>
      </w:tblPr>
      <w:tblGrid>
        <w:gridCol w:w="7390"/>
        <w:gridCol w:w="2464"/>
      </w:tblGrid>
      <w:tr w:rsidR="00C03EC4" w:rsidRPr="002E75D4" w14:paraId="07F2E977" w14:textId="77777777" w:rsidTr="000D6136">
        <w:trPr>
          <w:cnfStyle w:val="100000000000" w:firstRow="1" w:lastRow="0" w:firstColumn="0" w:lastColumn="0" w:oddVBand="0" w:evenVBand="0" w:oddHBand="0" w:evenHBand="0" w:firstRowFirstColumn="0" w:firstRowLastColumn="0" w:lastRowFirstColumn="0" w:lastRowLastColumn="0"/>
          <w:trHeight w:val="227"/>
        </w:trPr>
        <w:tc>
          <w:tcPr>
            <w:tcW w:w="7390" w:type="dxa"/>
            <w:shd w:val="clear" w:color="auto" w:fill="002060"/>
            <w:vAlign w:val="bottom"/>
          </w:tcPr>
          <w:p w14:paraId="67C4A2E6" w14:textId="77777777" w:rsidR="00C03EC4" w:rsidRPr="002E75D4" w:rsidRDefault="00C03EC4" w:rsidP="000D6136">
            <w:pPr>
              <w:rPr>
                <w:rFonts w:asciiTheme="majorHAnsi" w:hAnsiTheme="majorHAnsi" w:cstheme="majorHAnsi"/>
                <w:b w:val="0"/>
                <w:bCs w:val="0"/>
                <w:color w:val="auto"/>
                <w:sz w:val="24"/>
                <w:szCs w:val="24"/>
              </w:rPr>
            </w:pPr>
            <w:r w:rsidRPr="002E75D4">
              <w:rPr>
                <w:rFonts w:asciiTheme="majorHAnsi" w:hAnsiTheme="majorHAnsi" w:cstheme="majorHAnsi"/>
                <w:b w:val="0"/>
                <w:bCs w:val="0"/>
                <w:color w:val="auto"/>
                <w:sz w:val="24"/>
                <w:szCs w:val="24"/>
              </w:rPr>
              <w:t>Population</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000000" w:themeFill="text1"/>
            <w:vAlign w:val="bottom"/>
          </w:tcPr>
          <w:p w14:paraId="7DAA43AB" w14:textId="77777777" w:rsidR="00C03EC4" w:rsidRPr="002E75D4" w:rsidRDefault="00C03EC4" w:rsidP="000D6136">
            <w:pPr>
              <w:rPr>
                <w:rFonts w:asciiTheme="majorHAnsi" w:hAnsiTheme="majorHAnsi" w:cstheme="majorHAnsi"/>
                <w:b w:val="0"/>
                <w:bCs w:val="0"/>
                <w:color w:val="auto"/>
                <w:sz w:val="24"/>
                <w:szCs w:val="24"/>
              </w:rPr>
            </w:pPr>
            <w:r w:rsidRPr="002E75D4">
              <w:rPr>
                <w:rFonts w:asciiTheme="majorHAnsi" w:hAnsiTheme="majorHAnsi" w:cstheme="majorHAnsi"/>
                <w:b w:val="0"/>
                <w:bCs w:val="0"/>
                <w:color w:val="auto"/>
                <w:sz w:val="24"/>
                <w:szCs w:val="24"/>
              </w:rPr>
              <w:t>20,9 millions</w:t>
            </w:r>
          </w:p>
        </w:tc>
      </w:tr>
      <w:tr w:rsidR="00C03EC4" w:rsidRPr="002E75D4" w14:paraId="06F4C67F" w14:textId="77777777" w:rsidTr="000D6136">
        <w:trPr>
          <w:cnfStyle w:val="000000100000" w:firstRow="0" w:lastRow="0" w:firstColumn="0" w:lastColumn="0" w:oddVBand="0" w:evenVBand="0" w:oddHBand="1" w:evenHBand="0" w:firstRowFirstColumn="0" w:firstRowLastColumn="0" w:lastRowFirstColumn="0" w:lastRowLastColumn="0"/>
          <w:trHeight w:val="227"/>
        </w:trPr>
        <w:tc>
          <w:tcPr>
            <w:tcW w:w="7390" w:type="dxa"/>
            <w:shd w:val="clear" w:color="auto" w:fill="B4C6E7" w:themeFill="accent1" w:themeFillTint="66"/>
          </w:tcPr>
          <w:p w14:paraId="0CF334E7"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Croissance démographique</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D9D9D9" w:themeFill="background1" w:themeFillShade="D9"/>
          </w:tcPr>
          <w:p w14:paraId="69413E02"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3,36 %</w:t>
            </w:r>
          </w:p>
        </w:tc>
      </w:tr>
      <w:tr w:rsidR="00C03EC4" w:rsidRPr="002E75D4" w14:paraId="1C6D48AB" w14:textId="77777777" w:rsidTr="000D6136">
        <w:trPr>
          <w:trHeight w:val="227"/>
        </w:trPr>
        <w:tc>
          <w:tcPr>
            <w:tcW w:w="7390" w:type="dxa"/>
            <w:shd w:val="clear" w:color="auto" w:fill="D9E2F3" w:themeFill="accent1" w:themeFillTint="33"/>
          </w:tcPr>
          <w:p w14:paraId="776F9B99"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Taux d’urbanisation</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F2F2F2" w:themeFill="background1" w:themeFillShade="F2"/>
          </w:tcPr>
          <w:p w14:paraId="0FB135E5"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41 %</w:t>
            </w:r>
          </w:p>
        </w:tc>
      </w:tr>
      <w:tr w:rsidR="00C03EC4" w:rsidRPr="002E75D4" w14:paraId="369AB80D" w14:textId="77777777" w:rsidTr="000D6136">
        <w:trPr>
          <w:cnfStyle w:val="000000100000" w:firstRow="0" w:lastRow="0" w:firstColumn="0" w:lastColumn="0" w:oddVBand="0" w:evenVBand="0" w:oddHBand="1" w:evenHBand="0" w:firstRowFirstColumn="0" w:firstRowLastColumn="0" w:lastRowFirstColumn="0" w:lastRowLastColumn="0"/>
          <w:trHeight w:val="227"/>
        </w:trPr>
        <w:tc>
          <w:tcPr>
            <w:tcW w:w="7390" w:type="dxa"/>
            <w:shd w:val="clear" w:color="auto" w:fill="B4C6E7" w:themeFill="accent1" w:themeFillTint="66"/>
          </w:tcPr>
          <w:p w14:paraId="27897D9F"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Population rurale (2019)</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D9D9D9" w:themeFill="background1" w:themeFillShade="D9"/>
          </w:tcPr>
          <w:p w14:paraId="60A50AC3"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59 %</w:t>
            </w:r>
          </w:p>
        </w:tc>
      </w:tr>
      <w:tr w:rsidR="00C03EC4" w:rsidRPr="002E75D4" w14:paraId="6C2ECC1F" w14:textId="77777777" w:rsidTr="000D6136">
        <w:trPr>
          <w:trHeight w:val="227"/>
        </w:trPr>
        <w:tc>
          <w:tcPr>
            <w:tcW w:w="7390" w:type="dxa"/>
            <w:shd w:val="clear" w:color="auto" w:fill="D9E2F3" w:themeFill="accent1" w:themeFillTint="33"/>
          </w:tcPr>
          <w:p w14:paraId="6893A310"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Taux de croissance annuel du PIB (2020)</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F2F2F2" w:themeFill="background1" w:themeFillShade="F2"/>
          </w:tcPr>
          <w:p w14:paraId="02E37C93"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4,9 %</w:t>
            </w:r>
          </w:p>
        </w:tc>
      </w:tr>
      <w:tr w:rsidR="00C03EC4" w:rsidRPr="002E75D4" w14:paraId="603D2C5B" w14:textId="77777777" w:rsidTr="000D6136">
        <w:trPr>
          <w:cnfStyle w:val="000000100000" w:firstRow="0" w:lastRow="0" w:firstColumn="0" w:lastColumn="0" w:oddVBand="0" w:evenVBand="0" w:oddHBand="1" w:evenHBand="0" w:firstRowFirstColumn="0" w:firstRowLastColumn="0" w:lastRowFirstColumn="0" w:lastRowLastColumn="0"/>
          <w:trHeight w:val="227"/>
        </w:trPr>
        <w:tc>
          <w:tcPr>
            <w:tcW w:w="7390" w:type="dxa"/>
            <w:shd w:val="clear" w:color="auto" w:fill="B4C6E7" w:themeFill="accent1" w:themeFillTint="66"/>
          </w:tcPr>
          <w:p w14:paraId="5A59AE5C"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Taux national de pauvreté</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D9D9D9" w:themeFill="background1" w:themeFillShade="D9"/>
          </w:tcPr>
          <w:p w14:paraId="3D82DBF5"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42,7%</w:t>
            </w:r>
          </w:p>
        </w:tc>
      </w:tr>
      <w:tr w:rsidR="00C03EC4" w:rsidRPr="002E75D4" w14:paraId="7E0FECAD" w14:textId="77777777" w:rsidTr="000D6136">
        <w:trPr>
          <w:trHeight w:val="227"/>
        </w:trPr>
        <w:tc>
          <w:tcPr>
            <w:tcW w:w="7390" w:type="dxa"/>
            <w:shd w:val="clear" w:color="auto" w:fill="D9E2F3" w:themeFill="accent1" w:themeFillTint="33"/>
          </w:tcPr>
          <w:p w14:paraId="25DB7D8C"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Taux national d’accès à l’électricité (2019)</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F2F2F2" w:themeFill="background1" w:themeFillShade="F2"/>
          </w:tcPr>
          <w:p w14:paraId="706C1935"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50 %</w:t>
            </w:r>
          </w:p>
        </w:tc>
      </w:tr>
      <w:tr w:rsidR="00C03EC4" w:rsidRPr="002E75D4" w14:paraId="1FB547E6" w14:textId="77777777" w:rsidTr="000D6136">
        <w:trPr>
          <w:cnfStyle w:val="000000100000" w:firstRow="0" w:lastRow="0" w:firstColumn="0" w:lastColumn="0" w:oddVBand="0" w:evenVBand="0" w:oddHBand="1" w:evenHBand="0" w:firstRowFirstColumn="0" w:firstRowLastColumn="0" w:lastRowFirstColumn="0" w:lastRowLastColumn="0"/>
          <w:trHeight w:val="227"/>
        </w:trPr>
        <w:tc>
          <w:tcPr>
            <w:tcW w:w="7390" w:type="dxa"/>
            <w:shd w:val="clear" w:color="auto" w:fill="B4C6E7" w:themeFill="accent1" w:themeFillTint="66"/>
          </w:tcPr>
          <w:p w14:paraId="43F7B4BD"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Consommation d’énergie par habitant (2018)</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D9D9D9" w:themeFill="background1" w:themeFillShade="D9"/>
          </w:tcPr>
          <w:p w14:paraId="10DD954C" w14:textId="77777777" w:rsidR="00C03EC4" w:rsidRPr="002E75D4" w:rsidDel="00D06CA6" w:rsidRDefault="00C03EC4" w:rsidP="000D6136">
            <w:pPr>
              <w:rPr>
                <w:rFonts w:asciiTheme="majorHAnsi" w:hAnsiTheme="majorHAnsi" w:cstheme="majorHAnsi"/>
                <w:b w:val="0"/>
                <w:color w:val="auto"/>
                <w:sz w:val="24"/>
                <w:szCs w:val="24"/>
                <w:shd w:val="clear" w:color="auto" w:fill="FFFF00"/>
              </w:rPr>
            </w:pPr>
            <w:r w:rsidRPr="002E75D4">
              <w:rPr>
                <w:rFonts w:asciiTheme="majorHAnsi" w:hAnsiTheme="majorHAnsi" w:cstheme="majorHAnsi"/>
                <w:b w:val="0"/>
                <w:color w:val="auto"/>
                <w:sz w:val="24"/>
                <w:szCs w:val="24"/>
              </w:rPr>
              <w:t>0,3 tep/habitant</w:t>
            </w:r>
          </w:p>
        </w:tc>
      </w:tr>
      <w:tr w:rsidR="00C03EC4" w:rsidRPr="002E75D4" w14:paraId="02909ED1" w14:textId="77777777" w:rsidTr="000D6136">
        <w:trPr>
          <w:trHeight w:val="227"/>
        </w:trPr>
        <w:tc>
          <w:tcPr>
            <w:tcW w:w="7390" w:type="dxa"/>
            <w:shd w:val="clear" w:color="auto" w:fill="D9E2F3" w:themeFill="accent1" w:themeFillTint="33"/>
          </w:tcPr>
          <w:p w14:paraId="0893FA61"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 xml:space="preserve">Consommation électrique annuelle (2018) </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F2F2F2" w:themeFill="background1" w:themeFillShade="F2"/>
          </w:tcPr>
          <w:p w14:paraId="2FF91B14"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159 Kwh/habitant</w:t>
            </w:r>
          </w:p>
        </w:tc>
      </w:tr>
      <w:tr w:rsidR="00C03EC4" w:rsidRPr="002E75D4" w14:paraId="1F9FD9FC" w14:textId="77777777" w:rsidTr="000D6136">
        <w:trPr>
          <w:cnfStyle w:val="000000100000" w:firstRow="0" w:lastRow="0" w:firstColumn="0" w:lastColumn="0" w:oddVBand="0" w:evenVBand="0" w:oddHBand="1" w:evenHBand="0" w:firstRowFirstColumn="0" w:firstRowLastColumn="0" w:lastRowFirstColumn="0" w:lastRowLastColumn="0"/>
          <w:trHeight w:val="227"/>
        </w:trPr>
        <w:tc>
          <w:tcPr>
            <w:tcW w:w="7390" w:type="dxa"/>
            <w:shd w:val="clear" w:color="auto" w:fill="B4C6E7" w:themeFill="accent1" w:themeFillTint="66"/>
          </w:tcPr>
          <w:p w14:paraId="01297585"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Puissance totale installée en MW (2019)</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D9D9D9" w:themeFill="background1" w:themeFillShade="D9"/>
          </w:tcPr>
          <w:p w14:paraId="2E8E2EA2"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772 MW</w:t>
            </w:r>
          </w:p>
        </w:tc>
      </w:tr>
      <w:tr w:rsidR="00C03EC4" w:rsidRPr="002E75D4" w14:paraId="08ED06DC" w14:textId="77777777" w:rsidTr="000D6136">
        <w:trPr>
          <w:trHeight w:val="227"/>
        </w:trPr>
        <w:tc>
          <w:tcPr>
            <w:tcW w:w="7390" w:type="dxa"/>
            <w:shd w:val="clear" w:color="auto" w:fill="D9E2F3" w:themeFill="accent1" w:themeFillTint="33"/>
          </w:tcPr>
          <w:p w14:paraId="527A56C6"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Estimation de la demande annuelle en électricité (2018)</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F2F2F2" w:themeFill="background1" w:themeFillShade="F2"/>
          </w:tcPr>
          <w:p w14:paraId="3A5FD14B"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2.025 GWH</w:t>
            </w:r>
          </w:p>
        </w:tc>
      </w:tr>
      <w:tr w:rsidR="00C03EC4" w:rsidRPr="002E75D4" w14:paraId="0E291789" w14:textId="77777777" w:rsidTr="000D6136">
        <w:trPr>
          <w:cnfStyle w:val="000000100000" w:firstRow="0" w:lastRow="0" w:firstColumn="0" w:lastColumn="0" w:oddVBand="0" w:evenVBand="0" w:oddHBand="1" w:evenHBand="0" w:firstRowFirstColumn="0" w:firstRowLastColumn="0" w:lastRowFirstColumn="0" w:lastRowLastColumn="0"/>
          <w:trHeight w:val="227"/>
        </w:trPr>
        <w:tc>
          <w:tcPr>
            <w:tcW w:w="7390" w:type="dxa"/>
            <w:shd w:val="clear" w:color="auto" w:fill="B4C6E7" w:themeFill="accent1" w:themeFillTint="66"/>
          </w:tcPr>
          <w:p w14:paraId="082CECE2"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Part des ENR dans la production nationale d’électricité (2019)</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D9D9D9" w:themeFill="background1" w:themeFillShade="D9"/>
          </w:tcPr>
          <w:p w14:paraId="3E884E1A" w14:textId="77777777" w:rsidR="00C03EC4" w:rsidRPr="002E75D4" w:rsidRDefault="00C03EC4" w:rsidP="000D6136">
            <w:pPr>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13 %</w:t>
            </w:r>
          </w:p>
        </w:tc>
      </w:tr>
      <w:tr w:rsidR="00C03EC4" w:rsidRPr="002E75D4" w14:paraId="0FB8141D" w14:textId="77777777" w:rsidTr="000D6136">
        <w:trPr>
          <w:trHeight w:val="227"/>
        </w:trPr>
        <w:tc>
          <w:tcPr>
            <w:tcW w:w="7390" w:type="dxa"/>
            <w:shd w:val="clear" w:color="auto" w:fill="D9E2F3" w:themeFill="accent1" w:themeFillTint="33"/>
          </w:tcPr>
          <w:p w14:paraId="59789F4F" w14:textId="77777777" w:rsidR="00C03EC4" w:rsidRPr="002E75D4" w:rsidRDefault="00C03EC4" w:rsidP="000D6136">
            <w:pPr>
              <w:jc w:val="both"/>
              <w:rPr>
                <w:rFonts w:asciiTheme="majorHAnsi" w:hAnsiTheme="majorHAnsi" w:cstheme="majorHAnsi"/>
                <w:bCs/>
                <w:sz w:val="24"/>
                <w:szCs w:val="24"/>
              </w:rPr>
            </w:pPr>
            <w:r w:rsidRPr="002E75D4">
              <w:rPr>
                <w:rFonts w:asciiTheme="majorHAnsi" w:hAnsiTheme="majorHAnsi" w:cstheme="majorHAnsi"/>
                <w:bCs/>
                <w:sz w:val="24"/>
                <w:szCs w:val="24"/>
              </w:rPr>
              <w:t>Part du Mali à l’émission mondiale des GES</w:t>
            </w:r>
          </w:p>
        </w:tc>
        <w:tc>
          <w:tcPr>
            <w:cnfStyle w:val="000100000000" w:firstRow="0" w:lastRow="0" w:firstColumn="0" w:lastColumn="1" w:oddVBand="0" w:evenVBand="0" w:oddHBand="0" w:evenHBand="0" w:firstRowFirstColumn="0" w:firstRowLastColumn="0" w:lastRowFirstColumn="0" w:lastRowLastColumn="0"/>
            <w:tcW w:w="2464" w:type="dxa"/>
            <w:shd w:val="clear" w:color="auto" w:fill="F2F2F2" w:themeFill="background1" w:themeFillShade="F2"/>
          </w:tcPr>
          <w:p w14:paraId="038490EA" w14:textId="77777777" w:rsidR="00C03EC4" w:rsidRPr="002E75D4" w:rsidRDefault="00C03EC4" w:rsidP="000D6136">
            <w:pPr>
              <w:rPr>
                <w:rFonts w:asciiTheme="majorHAnsi" w:hAnsiTheme="majorHAnsi" w:cstheme="majorHAnsi"/>
                <w:b w:val="0"/>
                <w:color w:val="auto"/>
                <w:sz w:val="24"/>
                <w:szCs w:val="24"/>
                <w:shd w:val="clear" w:color="auto" w:fill="FFFF00"/>
              </w:rPr>
            </w:pPr>
            <w:r w:rsidRPr="002E75D4">
              <w:rPr>
                <w:rFonts w:asciiTheme="majorHAnsi" w:hAnsiTheme="majorHAnsi" w:cstheme="majorHAnsi"/>
                <w:b w:val="0"/>
                <w:color w:val="auto"/>
                <w:sz w:val="24"/>
                <w:szCs w:val="24"/>
              </w:rPr>
              <w:t>0,06%</w:t>
            </w:r>
          </w:p>
        </w:tc>
      </w:tr>
    </w:tbl>
    <w:p w14:paraId="23E84B5E" w14:textId="77777777" w:rsidR="00C03EC4" w:rsidRPr="002E75D4" w:rsidRDefault="00C03EC4" w:rsidP="00C03EC4">
      <w:pPr>
        <w:spacing w:line="240" w:lineRule="auto"/>
        <w:jc w:val="both"/>
        <w:rPr>
          <w:rFonts w:asciiTheme="majorHAnsi" w:hAnsiTheme="majorHAnsi" w:cstheme="majorHAnsi"/>
          <w:sz w:val="10"/>
        </w:rPr>
      </w:pPr>
    </w:p>
    <w:p w14:paraId="21A01CC8" w14:textId="77777777" w:rsidR="00C03EC4" w:rsidRPr="002E75D4" w:rsidRDefault="00C03EC4" w:rsidP="00C03EC4">
      <w:pPr>
        <w:spacing w:before="24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L’économie du Mali repose essentiellement sur l’exploitation des ressources naturelles. La croissance démographique et les contraintes climatiques ont entraîné une surexploitation et une dégradation de ces ressources. </w:t>
      </w:r>
    </w:p>
    <w:p w14:paraId="167CF103"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Mali considère que le maintien de l’intégrité des milieux naturels est un acte écologique mais aussi un acte éminemment économique.</w:t>
      </w:r>
    </w:p>
    <w:p w14:paraId="5236B716"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Les deux tiers du pays sont arides et semi arides dominés par les problèmes de désertification qui se sont accentués à partir de la deuxième moitié du 20ème siècle avec l’amplification des effets des changements climatiques.</w:t>
      </w:r>
    </w:p>
    <w:p w14:paraId="181AAD46"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Les risques naturels se sont accrus avec l’intensification des changements climatiques : sécheresses à répétition, inondations, vents forts, feux de brousse, perturbation du régime des pluies entrainant une incertitude sur les calendriers agricoles. L’agriculture qui est la plus touchée, représente 45% du PNB et occupe environ 80% de la population active, elle demeure très sensible aux changements climatiques.</w:t>
      </w:r>
    </w:p>
    <w:p w14:paraId="52760795" w14:textId="77777777" w:rsidR="00C03EC4" w:rsidRPr="00A021BD" w:rsidRDefault="00C03EC4" w:rsidP="00C03EC4">
      <w:pPr>
        <w:pStyle w:val="NormalWeb"/>
        <w:numPr>
          <w:ilvl w:val="1"/>
          <w:numId w:val="3"/>
        </w:numPr>
        <w:rPr>
          <w:rFonts w:asciiTheme="majorHAnsi" w:hAnsiTheme="majorHAnsi" w:cstheme="majorHAnsi"/>
          <w:b/>
          <w:sz w:val="34"/>
          <w:szCs w:val="34"/>
        </w:rPr>
      </w:pPr>
      <w:r w:rsidRPr="00A021BD">
        <w:rPr>
          <w:rFonts w:asciiTheme="majorHAnsi" w:hAnsiTheme="majorHAnsi" w:cstheme="majorHAnsi"/>
          <w:b/>
          <w:sz w:val="34"/>
          <w:szCs w:val="34"/>
        </w:rPr>
        <w:t>ENGAGEMENTS DU MALI EN REGARD DES CHANGEMENTS CLIMATIQUES</w:t>
      </w:r>
    </w:p>
    <w:p w14:paraId="150DBEF7" w14:textId="77777777" w:rsidR="00C03EC4" w:rsidRPr="002E75D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Mali s’est engagé à lutter contre les changements climatiques en signant la convention cadre des Nations Unies sur les changements climatiques (28 décembre 1994) et le Protocole de Kyoto (27 janvier 1999).</w:t>
      </w:r>
    </w:p>
    <w:p w14:paraId="4B63C96B" w14:textId="77777777" w:rsidR="00C03EC4" w:rsidRPr="002E75D4" w:rsidRDefault="00C03EC4" w:rsidP="00C03EC4">
      <w:pPr>
        <w:spacing w:after="0"/>
        <w:jc w:val="both"/>
        <w:rPr>
          <w:rFonts w:asciiTheme="majorHAnsi" w:hAnsiTheme="majorHAnsi" w:cstheme="majorHAnsi"/>
          <w:sz w:val="24"/>
          <w:szCs w:val="24"/>
        </w:rPr>
      </w:pPr>
      <w:r w:rsidRPr="002E75D4">
        <w:rPr>
          <w:rFonts w:asciiTheme="majorHAnsi" w:hAnsiTheme="majorHAnsi" w:cstheme="majorHAnsi"/>
          <w:sz w:val="24"/>
          <w:szCs w:val="24"/>
        </w:rPr>
        <w:t>Le Mali a ratifié la majorité des Accords Multilatéraux sur l’Environnement, notamment :</w:t>
      </w:r>
    </w:p>
    <w:p w14:paraId="4E32F6D8" w14:textId="77777777" w:rsidR="00C03EC4" w:rsidRPr="002E75D4" w:rsidRDefault="00C03EC4" w:rsidP="00C03EC4">
      <w:pPr>
        <w:numPr>
          <w:ilvl w:val="0"/>
          <w:numId w:val="2"/>
        </w:numPr>
        <w:spacing w:after="0" w:line="276" w:lineRule="auto"/>
        <w:jc w:val="both"/>
        <w:rPr>
          <w:rFonts w:asciiTheme="majorHAnsi" w:hAnsiTheme="majorHAnsi" w:cstheme="majorHAnsi"/>
          <w:sz w:val="24"/>
          <w:szCs w:val="24"/>
        </w:rPr>
      </w:pPr>
      <w:r w:rsidRPr="002E75D4">
        <w:rPr>
          <w:rFonts w:asciiTheme="majorHAnsi" w:hAnsiTheme="majorHAnsi" w:cstheme="majorHAnsi"/>
          <w:sz w:val="24"/>
          <w:szCs w:val="24"/>
        </w:rPr>
        <w:t>la Convention de lutte contre la Désertification adoptée à Paris le 17 juin 1994 et ratifiée par le Mali le 31 octobre 1995.</w:t>
      </w:r>
    </w:p>
    <w:p w14:paraId="1434A8AB" w14:textId="77777777" w:rsidR="00C03EC4" w:rsidRPr="002E75D4" w:rsidRDefault="00C03EC4" w:rsidP="00C03EC4">
      <w:pPr>
        <w:numPr>
          <w:ilvl w:val="0"/>
          <w:numId w:val="2"/>
        </w:numPr>
        <w:spacing w:after="0" w:line="276" w:lineRule="auto"/>
        <w:jc w:val="both"/>
        <w:rPr>
          <w:rFonts w:asciiTheme="majorHAnsi" w:hAnsiTheme="majorHAnsi" w:cstheme="majorHAnsi"/>
          <w:sz w:val="24"/>
          <w:szCs w:val="24"/>
        </w:rPr>
      </w:pPr>
      <w:r w:rsidRPr="002E75D4">
        <w:rPr>
          <w:rFonts w:asciiTheme="majorHAnsi" w:hAnsiTheme="majorHAnsi" w:cstheme="majorHAnsi"/>
          <w:sz w:val="24"/>
          <w:szCs w:val="24"/>
        </w:rPr>
        <w:t>la Convention sur la Biodiversité adoptée le 22 mai 1992 et ;</w:t>
      </w:r>
    </w:p>
    <w:p w14:paraId="433766B0" w14:textId="77777777" w:rsidR="00C03EC4" w:rsidRPr="002E75D4" w:rsidRDefault="00C03EC4" w:rsidP="00C03EC4">
      <w:pPr>
        <w:numPr>
          <w:ilvl w:val="0"/>
          <w:numId w:val="2"/>
        </w:numPr>
        <w:spacing w:after="0" w:line="276" w:lineRule="auto"/>
        <w:jc w:val="both"/>
        <w:rPr>
          <w:rFonts w:asciiTheme="majorHAnsi" w:hAnsiTheme="majorHAnsi" w:cstheme="majorHAnsi"/>
          <w:sz w:val="24"/>
          <w:szCs w:val="24"/>
        </w:rPr>
      </w:pPr>
      <w:r w:rsidRPr="002E75D4">
        <w:rPr>
          <w:rFonts w:asciiTheme="majorHAnsi" w:hAnsiTheme="majorHAnsi" w:cstheme="majorHAnsi"/>
          <w:sz w:val="24"/>
          <w:szCs w:val="24"/>
        </w:rPr>
        <w:t>l’Accord de Paris sur le climat ratifié le 23 Septembre 2016.</w:t>
      </w:r>
    </w:p>
    <w:p w14:paraId="3F6B3B1D" w14:textId="77777777" w:rsidR="00C03EC4" w:rsidRPr="002E75D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pays a élaboré son Programme d’Action National d’Adaptation (PANA) aux effets néfastes des changements climatiques en 2007. Il a présenté à la convention sa première, deuxième et troisième communication nationale et son premier Rapport Biennal (BUR) en cours de validation.</w:t>
      </w:r>
    </w:p>
    <w:p w14:paraId="0FC7A4D3" w14:textId="77777777" w:rsidR="00C03EC4" w:rsidRPr="002E75D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Mali a également élaboré sa Politique Nationale sur les Changements Climatiques en 2011, assortie d’une stratégie et d’un plan d’actions.</w:t>
      </w:r>
    </w:p>
    <w:p w14:paraId="790AEB98" w14:textId="77777777" w:rsidR="00C03EC4" w:rsidRPr="002E75D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Au plan macro-économique, le pays intègre la dimension environnementale en général et des changements climatiques en particulier dans les processus de planification du développement, notamment dans la mise en œuvre du </w:t>
      </w:r>
      <w:r w:rsidRPr="002E75D4">
        <w:rPr>
          <w:rFonts w:asciiTheme="majorHAnsi" w:hAnsiTheme="majorHAnsi" w:cstheme="majorHAnsi"/>
          <w:sz w:val="24"/>
          <w:szCs w:val="24"/>
          <w:lang w:bidi="he-IL"/>
        </w:rPr>
        <w:t>Cadre Strat</w:t>
      </w:r>
      <w:r w:rsidRPr="002E75D4">
        <w:rPr>
          <w:rFonts w:asciiTheme="majorHAnsi" w:hAnsiTheme="majorHAnsi" w:cstheme="majorHAnsi"/>
          <w:sz w:val="24"/>
          <w:szCs w:val="24"/>
        </w:rPr>
        <w:t>é</w:t>
      </w:r>
      <w:r w:rsidRPr="002E75D4">
        <w:rPr>
          <w:rFonts w:asciiTheme="majorHAnsi" w:hAnsiTheme="majorHAnsi" w:cstheme="majorHAnsi"/>
          <w:sz w:val="24"/>
          <w:szCs w:val="24"/>
          <w:lang w:bidi="he-IL"/>
        </w:rPr>
        <w:t xml:space="preserve">gique pour la Relance </w:t>
      </w:r>
      <w:r w:rsidRPr="002E75D4">
        <w:rPr>
          <w:rFonts w:asciiTheme="majorHAnsi" w:hAnsiTheme="majorHAnsi" w:cstheme="majorHAnsi"/>
          <w:sz w:val="24"/>
          <w:szCs w:val="24"/>
        </w:rPr>
        <w:t>É</w:t>
      </w:r>
      <w:r w:rsidRPr="002E75D4">
        <w:rPr>
          <w:rFonts w:asciiTheme="majorHAnsi" w:hAnsiTheme="majorHAnsi" w:cstheme="majorHAnsi"/>
          <w:sz w:val="24"/>
          <w:szCs w:val="24"/>
          <w:lang w:bidi="he-IL"/>
        </w:rPr>
        <w:t>conomique et le D</w:t>
      </w:r>
      <w:r w:rsidRPr="002E75D4">
        <w:rPr>
          <w:rFonts w:asciiTheme="majorHAnsi" w:hAnsiTheme="majorHAnsi" w:cstheme="majorHAnsi"/>
          <w:sz w:val="24"/>
          <w:szCs w:val="24"/>
        </w:rPr>
        <w:t>é</w:t>
      </w:r>
      <w:r w:rsidRPr="002E75D4">
        <w:rPr>
          <w:rFonts w:asciiTheme="majorHAnsi" w:hAnsiTheme="majorHAnsi" w:cstheme="majorHAnsi"/>
          <w:sz w:val="24"/>
          <w:szCs w:val="24"/>
          <w:lang w:bidi="he-IL"/>
        </w:rPr>
        <w:t>veloppement Durable (CREDD)</w:t>
      </w:r>
      <w:r w:rsidRPr="002E75D4">
        <w:rPr>
          <w:rFonts w:asciiTheme="majorHAnsi" w:hAnsiTheme="majorHAnsi" w:cstheme="majorHAnsi"/>
          <w:sz w:val="24"/>
          <w:szCs w:val="24"/>
        </w:rPr>
        <w:t>, qui constitue le cadre unique de référence de l’ensemble des politiques de développement du pays pour la période 2019-2023.</w:t>
      </w:r>
    </w:p>
    <w:p w14:paraId="32FD2838" w14:textId="77777777" w:rsidR="00C03EC4" w:rsidRPr="002E75D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Il a par ailleurs élaboré un Cadre Stratégique pour la Réalisation d’un Mali Résilient et Vert qui permettra la réalisation effective d’une économie résiliente et peu génératrice de carbone tout en donnant une impulsion nouvelle à ses objectifs de croissance économique et de réduction de la pauvreté.</w:t>
      </w:r>
    </w:p>
    <w:p w14:paraId="34FCCBE1" w14:textId="77777777" w:rsidR="00C03EC4" w:rsidRPr="002E75D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Sur le plan législatif, le Mali est dans une dynamique d’élaboration de textes favorables à la lutte contre les changements climatiques et à la préservation de l’environnement ; par exemple la Loi N° 2020-009 du 11 mai 2020 exonérant les équipements d’énergies renouvelables de la TVA, et des taxes à l’importation.</w:t>
      </w:r>
    </w:p>
    <w:p w14:paraId="612640EA" w14:textId="77777777" w:rsidR="00C03EC4" w:rsidRPr="002E75D4" w:rsidRDefault="00C03EC4" w:rsidP="00C03EC4">
      <w:pPr>
        <w:spacing w:after="0" w:line="240" w:lineRule="auto"/>
        <w:jc w:val="both"/>
        <w:rPr>
          <w:rFonts w:asciiTheme="majorHAnsi" w:hAnsiTheme="majorHAnsi" w:cstheme="majorHAnsi"/>
          <w:sz w:val="24"/>
          <w:szCs w:val="24"/>
        </w:rPr>
      </w:pPr>
    </w:p>
    <w:p w14:paraId="13954A78" w14:textId="77777777" w:rsidR="00C03EC4" w:rsidRPr="002E75D4" w:rsidRDefault="00C03EC4" w:rsidP="00C03EC4">
      <w:pPr>
        <w:tabs>
          <w:tab w:val="left" w:pos="2016"/>
          <w:tab w:val="left" w:pos="2160"/>
        </w:tabs>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Sur le plan institutionnel, le Ministère de l’Environnement, de l’Assainissement et du Développement Durable a en charge la prise en compte des changements climatiques. Il a confié à l’Agence de l’Environnement et du Développement Durable (AEDD), créée en 2010, la mission de gérer les différents aspects des changements climatiques.</w:t>
      </w:r>
    </w:p>
    <w:p w14:paraId="6156A1ED" w14:textId="77777777" w:rsidR="00C03EC4" w:rsidRPr="002E75D4" w:rsidRDefault="00C03EC4" w:rsidP="00C03EC4">
      <w:pPr>
        <w:pStyle w:val="Sansinterligne1"/>
        <w:jc w:val="both"/>
        <w:rPr>
          <w:rFonts w:asciiTheme="majorHAnsi" w:hAnsiTheme="majorHAnsi" w:cstheme="majorHAnsi"/>
          <w:sz w:val="24"/>
          <w:szCs w:val="24"/>
          <w:lang w:val="fr-BE" w:eastAsia="en-US"/>
        </w:rPr>
      </w:pPr>
      <w:r w:rsidRPr="002E75D4">
        <w:rPr>
          <w:rFonts w:asciiTheme="majorHAnsi" w:hAnsiTheme="majorHAnsi" w:cstheme="majorHAnsi"/>
          <w:sz w:val="24"/>
          <w:szCs w:val="24"/>
          <w:lang w:val="fr-BE" w:eastAsia="en-US"/>
        </w:rPr>
        <w:t>Le Mali a aussi mis en place un Comité National des Changements Climatiques (CNCC) qui est l’instance de concertation, d’orientation et de mobilisation des forces vives du pays. Ce comité est consulté régulièrement pour accompagner les équipes de préparation de la contribution nationale, notamment à travers ses groupes thématiques.</w:t>
      </w:r>
    </w:p>
    <w:p w14:paraId="538EF41D" w14:textId="77777777" w:rsidR="00C03EC4" w:rsidRPr="002E75D4" w:rsidRDefault="00C03EC4" w:rsidP="00C03EC4">
      <w:pPr>
        <w:pStyle w:val="Sansinterligne1"/>
        <w:jc w:val="both"/>
        <w:rPr>
          <w:rFonts w:asciiTheme="majorHAnsi" w:hAnsiTheme="majorHAnsi" w:cstheme="majorHAnsi"/>
          <w:sz w:val="28"/>
          <w:szCs w:val="24"/>
          <w:lang w:val="fr-BE"/>
        </w:rPr>
      </w:pPr>
    </w:p>
    <w:p w14:paraId="2E37CF68" w14:textId="77777777" w:rsidR="00C03EC4" w:rsidRPr="00A021BD" w:rsidRDefault="00C03EC4" w:rsidP="00C03EC4">
      <w:pPr>
        <w:pStyle w:val="Sansinterligne1"/>
        <w:rPr>
          <w:rFonts w:asciiTheme="majorHAnsi" w:hAnsiTheme="majorHAnsi" w:cstheme="majorHAnsi"/>
          <w:b/>
          <w:sz w:val="34"/>
          <w:szCs w:val="34"/>
          <w:lang w:val="fr-BE" w:eastAsia="en-US"/>
        </w:rPr>
      </w:pPr>
      <w:r w:rsidRPr="00A021BD">
        <w:rPr>
          <w:rFonts w:asciiTheme="majorHAnsi" w:hAnsiTheme="majorHAnsi" w:cstheme="majorHAnsi"/>
          <w:b/>
          <w:sz w:val="34"/>
          <w:szCs w:val="34"/>
          <w:lang w:val="fr-BE"/>
        </w:rPr>
        <w:t>1.3.</w:t>
      </w:r>
      <w:r w:rsidRPr="00A021BD">
        <w:rPr>
          <w:rFonts w:asciiTheme="majorHAnsi" w:hAnsiTheme="majorHAnsi" w:cstheme="majorHAnsi"/>
          <w:b/>
          <w:sz w:val="34"/>
          <w:szCs w:val="34"/>
          <w:lang w:val="fr-BE"/>
        </w:rPr>
        <w:tab/>
        <w:t>APERÇU DU PROFIL DES ÉMISSIONS DE GES DU MALI COURANT</w:t>
      </w:r>
      <w:r w:rsidRPr="00A021BD">
        <w:rPr>
          <w:rFonts w:asciiTheme="majorHAnsi" w:hAnsiTheme="majorHAnsi" w:cstheme="majorHAnsi"/>
          <w:b/>
          <w:sz w:val="32"/>
          <w:szCs w:val="32"/>
          <w:lang w:val="fr-BE"/>
        </w:rPr>
        <w:t xml:space="preserve">                              </w:t>
      </w:r>
      <w:r w:rsidRPr="00A021BD">
        <w:rPr>
          <w:rFonts w:asciiTheme="majorHAnsi" w:hAnsiTheme="majorHAnsi" w:cstheme="majorHAnsi"/>
          <w:b/>
          <w:sz w:val="34"/>
          <w:szCs w:val="34"/>
          <w:lang w:val="fr-BE"/>
        </w:rPr>
        <w:t>L’ANNÉE 2016</w:t>
      </w:r>
    </w:p>
    <w:p w14:paraId="2E1C9E93" w14:textId="77777777" w:rsidR="00C03EC4" w:rsidRPr="002E75D4" w:rsidRDefault="00C03EC4" w:rsidP="00C03EC4">
      <w:pPr>
        <w:spacing w:after="120" w:line="240" w:lineRule="auto"/>
        <w:jc w:val="both"/>
        <w:rPr>
          <w:rFonts w:asciiTheme="majorHAnsi" w:hAnsiTheme="majorHAnsi" w:cstheme="majorHAnsi"/>
          <w:sz w:val="24"/>
          <w:szCs w:val="24"/>
        </w:rPr>
      </w:pPr>
    </w:p>
    <w:p w14:paraId="1AFC466B"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Globalement, les dernières estimations montrent que l’Afrique est responsable d’environ 4% des émissions mondiales de GES et le Mali environ 0.06%. Même si les émissions sont amenées à augmenter au fur </w:t>
      </w:r>
      <w:r>
        <w:rPr>
          <w:rFonts w:asciiTheme="majorHAnsi" w:hAnsiTheme="majorHAnsi" w:cstheme="majorHAnsi"/>
          <w:sz w:val="24"/>
          <w:szCs w:val="24"/>
        </w:rPr>
        <w:t xml:space="preserve">et </w:t>
      </w:r>
      <w:r w:rsidRPr="002E75D4">
        <w:rPr>
          <w:rFonts w:asciiTheme="majorHAnsi" w:hAnsiTheme="majorHAnsi" w:cstheme="majorHAnsi"/>
          <w:sz w:val="24"/>
          <w:szCs w:val="24"/>
        </w:rPr>
        <w:t>à mesure que le pays se développe, le Mali reste encore aujourd’hui un puits de carbone (3</w:t>
      </w:r>
      <w:r w:rsidRPr="002E75D4">
        <w:rPr>
          <w:rFonts w:asciiTheme="majorHAnsi" w:hAnsiTheme="majorHAnsi" w:cstheme="majorHAnsi"/>
          <w:sz w:val="24"/>
          <w:szCs w:val="24"/>
          <w:vertAlign w:val="superscript"/>
        </w:rPr>
        <w:t>ème</w:t>
      </w:r>
      <w:r w:rsidRPr="002E75D4">
        <w:rPr>
          <w:rFonts w:asciiTheme="majorHAnsi" w:hAnsiTheme="majorHAnsi" w:cstheme="majorHAnsi"/>
          <w:sz w:val="24"/>
          <w:szCs w:val="24"/>
        </w:rPr>
        <w:t xml:space="preserve"> TCN et Rapport Biennal du Mali). </w:t>
      </w:r>
    </w:p>
    <w:p w14:paraId="5B26489E" w14:textId="77777777" w:rsidR="00C03EC4" w:rsidRPr="002E75D4" w:rsidRDefault="00C03EC4" w:rsidP="00C03EC4">
      <w:pPr>
        <w:spacing w:after="120" w:line="240" w:lineRule="auto"/>
        <w:jc w:val="both"/>
        <w:rPr>
          <w:rFonts w:asciiTheme="majorHAnsi" w:hAnsiTheme="majorHAnsi" w:cstheme="majorHAnsi"/>
          <w:sz w:val="24"/>
          <w:szCs w:val="24"/>
          <w:lang w:val="fr-BE"/>
        </w:rPr>
      </w:pPr>
      <w:r w:rsidRPr="002E75D4">
        <w:rPr>
          <w:rFonts w:asciiTheme="majorHAnsi" w:hAnsiTheme="majorHAnsi" w:cstheme="majorHAnsi"/>
          <w:sz w:val="24"/>
          <w:szCs w:val="24"/>
          <w:lang w:val="fr-BE"/>
        </w:rPr>
        <w:t>Le profil des émissions des quatre principaux gaz calculés par le rapport Biennal du Mali (BUR) pour l’année 2016 est porté dans le tableau 1 ci-dessous.</w:t>
      </w:r>
    </w:p>
    <w:p w14:paraId="66BCB5C1" w14:textId="77777777" w:rsidR="00C03EC4" w:rsidRPr="002E75D4" w:rsidRDefault="00C03EC4" w:rsidP="00C03EC4">
      <w:pPr>
        <w:spacing w:after="120" w:line="240" w:lineRule="auto"/>
        <w:jc w:val="both"/>
        <w:rPr>
          <w:rFonts w:asciiTheme="majorHAnsi" w:hAnsiTheme="majorHAnsi" w:cstheme="majorHAnsi"/>
          <w:sz w:val="24"/>
          <w:szCs w:val="24"/>
          <w:lang w:val="fr-BE"/>
        </w:rPr>
      </w:pPr>
      <w:r w:rsidRPr="00EA7465">
        <w:rPr>
          <w:rFonts w:cstheme="minorHAnsi"/>
          <w:b/>
          <w:sz w:val="24"/>
          <w:szCs w:val="24"/>
          <w:u w:val="single"/>
          <w:lang w:val="fr-BE"/>
        </w:rPr>
        <w:t>Tableau 1</w:t>
      </w:r>
      <w:r w:rsidRPr="002E75D4">
        <w:rPr>
          <w:rFonts w:cstheme="minorHAnsi"/>
          <w:b/>
          <w:sz w:val="24"/>
          <w:szCs w:val="24"/>
          <w:lang w:val="fr-BE"/>
        </w:rPr>
        <w:t> :</w:t>
      </w:r>
      <w:r w:rsidRPr="002E75D4">
        <w:rPr>
          <w:rFonts w:asciiTheme="majorHAnsi" w:hAnsiTheme="majorHAnsi" w:cstheme="majorHAnsi"/>
          <w:sz w:val="24"/>
          <w:szCs w:val="24"/>
          <w:lang w:val="fr-BE"/>
        </w:rPr>
        <w:t xml:space="preserve"> Emissions et Séquestration des quatre principaux GES (année 2016) au Mali</w:t>
      </w:r>
    </w:p>
    <w:tbl>
      <w:tblPr>
        <w:tblStyle w:val="Grillemoyenne3-Accent1"/>
        <w:tblW w:w="5000" w:type="pct"/>
        <w:tblLook w:val="0420" w:firstRow="1" w:lastRow="0" w:firstColumn="0" w:lastColumn="0" w:noHBand="0" w:noVBand="1"/>
      </w:tblPr>
      <w:tblGrid>
        <w:gridCol w:w="4657"/>
        <w:gridCol w:w="1674"/>
        <w:gridCol w:w="1672"/>
        <w:gridCol w:w="1616"/>
      </w:tblGrid>
      <w:tr w:rsidR="00C03EC4" w:rsidRPr="002E75D4" w14:paraId="3DF1B957" w14:textId="77777777" w:rsidTr="000D6136">
        <w:trPr>
          <w:cnfStyle w:val="100000000000" w:firstRow="1" w:lastRow="0" w:firstColumn="0" w:lastColumn="0" w:oddVBand="0" w:evenVBand="0" w:oddHBand="0" w:evenHBand="0" w:firstRowFirstColumn="0" w:firstRowLastColumn="0" w:lastRowFirstColumn="0" w:lastRowLastColumn="0"/>
          <w:trHeight w:val="358"/>
        </w:trPr>
        <w:tc>
          <w:tcPr>
            <w:tcW w:w="2421" w:type="pct"/>
            <w:vMerge w:val="restart"/>
            <w:shd w:val="clear" w:color="auto" w:fill="002060"/>
            <w:vAlign w:val="bottom"/>
            <w:hideMark/>
          </w:tcPr>
          <w:p w14:paraId="70959D94" w14:textId="77777777" w:rsidR="00C03EC4" w:rsidRPr="002E75D4" w:rsidRDefault="00C03EC4" w:rsidP="000D6136">
            <w:pPr>
              <w:rPr>
                <w:rFonts w:asciiTheme="majorHAnsi" w:hAnsiTheme="majorHAnsi" w:cstheme="majorHAnsi"/>
                <w:b w:val="0"/>
                <w:color w:val="auto"/>
              </w:rPr>
            </w:pPr>
            <w:r w:rsidRPr="002E75D4">
              <w:rPr>
                <w:rFonts w:asciiTheme="majorHAnsi" w:hAnsiTheme="majorHAnsi" w:cstheme="majorHAnsi"/>
                <w:b w:val="0"/>
                <w:color w:val="auto"/>
              </w:rPr>
              <w:t>Secteurs</w:t>
            </w:r>
          </w:p>
          <w:p w14:paraId="36CB2942" w14:textId="77777777" w:rsidR="00C03EC4" w:rsidRPr="002E75D4" w:rsidRDefault="00C03EC4" w:rsidP="000D6136">
            <w:pPr>
              <w:rPr>
                <w:rFonts w:asciiTheme="majorHAnsi" w:hAnsiTheme="majorHAnsi" w:cstheme="majorHAnsi"/>
                <w:b w:val="0"/>
                <w:color w:val="auto"/>
              </w:rPr>
            </w:pPr>
          </w:p>
          <w:p w14:paraId="2AFA916F" w14:textId="77777777" w:rsidR="00C03EC4" w:rsidRPr="002E75D4" w:rsidRDefault="00C03EC4" w:rsidP="000D6136">
            <w:pPr>
              <w:rPr>
                <w:rFonts w:asciiTheme="majorHAnsi" w:hAnsiTheme="majorHAnsi" w:cstheme="majorHAnsi"/>
                <w:b w:val="0"/>
                <w:color w:val="auto"/>
              </w:rPr>
            </w:pPr>
          </w:p>
        </w:tc>
        <w:tc>
          <w:tcPr>
            <w:tcW w:w="2579" w:type="pct"/>
            <w:gridSpan w:val="3"/>
            <w:shd w:val="clear" w:color="auto" w:fill="002060"/>
            <w:hideMark/>
          </w:tcPr>
          <w:p w14:paraId="69AA1B99" w14:textId="77777777" w:rsidR="00C03EC4" w:rsidRPr="002E75D4" w:rsidRDefault="00C03EC4" w:rsidP="000D6136">
            <w:pPr>
              <w:ind w:left="-717" w:firstLine="717"/>
              <w:rPr>
                <w:rFonts w:asciiTheme="majorHAnsi" w:hAnsiTheme="majorHAnsi" w:cstheme="majorHAnsi"/>
                <w:b w:val="0"/>
                <w:color w:val="auto"/>
              </w:rPr>
            </w:pPr>
            <w:r w:rsidRPr="002E75D4">
              <w:rPr>
                <w:rFonts w:asciiTheme="majorHAnsi" w:hAnsiTheme="majorHAnsi" w:cstheme="majorHAnsi"/>
                <w:b w:val="0"/>
                <w:color w:val="auto"/>
              </w:rPr>
              <w:t>Année 2016</w:t>
            </w:r>
          </w:p>
        </w:tc>
      </w:tr>
      <w:tr w:rsidR="00C03EC4" w:rsidRPr="002E75D4" w14:paraId="55578A46" w14:textId="77777777" w:rsidTr="000D6136">
        <w:trPr>
          <w:cnfStyle w:val="000000100000" w:firstRow="0" w:lastRow="0" w:firstColumn="0" w:lastColumn="0" w:oddVBand="0" w:evenVBand="0" w:oddHBand="1" w:evenHBand="0" w:firstRowFirstColumn="0" w:firstRowLastColumn="0" w:lastRowFirstColumn="0" w:lastRowLastColumn="0"/>
          <w:trHeight w:val="358"/>
        </w:trPr>
        <w:tc>
          <w:tcPr>
            <w:tcW w:w="2421" w:type="pct"/>
            <w:vMerge/>
            <w:shd w:val="clear" w:color="auto" w:fill="002060"/>
            <w:hideMark/>
          </w:tcPr>
          <w:p w14:paraId="7D6002A3" w14:textId="77777777" w:rsidR="00C03EC4" w:rsidRPr="002E75D4" w:rsidRDefault="00C03EC4" w:rsidP="000D6136">
            <w:pPr>
              <w:rPr>
                <w:rFonts w:asciiTheme="majorHAnsi" w:hAnsiTheme="majorHAnsi" w:cstheme="majorHAnsi"/>
              </w:rPr>
            </w:pPr>
          </w:p>
        </w:tc>
        <w:tc>
          <w:tcPr>
            <w:tcW w:w="2579" w:type="pct"/>
            <w:gridSpan w:val="3"/>
            <w:shd w:val="clear" w:color="auto" w:fill="002060"/>
            <w:hideMark/>
          </w:tcPr>
          <w:p w14:paraId="675224B8" w14:textId="77777777" w:rsidR="00C03EC4" w:rsidRPr="002E75D4" w:rsidRDefault="00C03EC4" w:rsidP="000D6136">
            <w:pPr>
              <w:rPr>
                <w:rFonts w:asciiTheme="majorHAnsi" w:hAnsiTheme="majorHAnsi" w:cstheme="majorHAnsi"/>
              </w:rPr>
            </w:pPr>
            <w:r w:rsidRPr="002E75D4">
              <w:rPr>
                <w:rFonts w:asciiTheme="majorHAnsi" w:hAnsiTheme="majorHAnsi" w:cstheme="majorHAnsi"/>
              </w:rPr>
              <w:t>Types de GES</w:t>
            </w:r>
          </w:p>
        </w:tc>
      </w:tr>
      <w:tr w:rsidR="00C03EC4" w:rsidRPr="002E75D4" w14:paraId="3AF2260B" w14:textId="77777777" w:rsidTr="000D6136">
        <w:trPr>
          <w:trHeight w:val="358"/>
        </w:trPr>
        <w:tc>
          <w:tcPr>
            <w:tcW w:w="2421" w:type="pct"/>
            <w:vMerge/>
            <w:shd w:val="clear" w:color="auto" w:fill="2F5496" w:themeFill="accent1" w:themeFillShade="BF"/>
            <w:hideMark/>
          </w:tcPr>
          <w:p w14:paraId="1A607AB2" w14:textId="77777777" w:rsidR="00C03EC4" w:rsidRPr="002E75D4" w:rsidRDefault="00C03EC4" w:rsidP="000D6136">
            <w:pPr>
              <w:rPr>
                <w:rFonts w:asciiTheme="majorHAnsi" w:hAnsiTheme="majorHAnsi" w:cstheme="majorHAnsi"/>
              </w:rPr>
            </w:pPr>
          </w:p>
        </w:tc>
        <w:tc>
          <w:tcPr>
            <w:tcW w:w="870" w:type="pct"/>
            <w:shd w:val="clear" w:color="auto" w:fill="002060"/>
            <w:hideMark/>
          </w:tcPr>
          <w:p w14:paraId="024FBB49" w14:textId="77777777" w:rsidR="00C03EC4" w:rsidRPr="002E75D4" w:rsidRDefault="00C03EC4" w:rsidP="000D6136">
            <w:pPr>
              <w:rPr>
                <w:rFonts w:asciiTheme="majorHAnsi" w:hAnsiTheme="majorHAnsi" w:cstheme="majorHAnsi"/>
              </w:rPr>
            </w:pPr>
            <w:r w:rsidRPr="002E75D4">
              <w:rPr>
                <w:rFonts w:asciiTheme="majorHAnsi" w:hAnsiTheme="majorHAnsi" w:cstheme="majorHAnsi"/>
              </w:rPr>
              <w:t>CO2</w:t>
            </w:r>
          </w:p>
        </w:tc>
        <w:tc>
          <w:tcPr>
            <w:tcW w:w="869" w:type="pct"/>
            <w:shd w:val="clear" w:color="auto" w:fill="002060"/>
            <w:hideMark/>
          </w:tcPr>
          <w:p w14:paraId="47D090F9" w14:textId="77777777" w:rsidR="00C03EC4" w:rsidRPr="002E75D4" w:rsidRDefault="00C03EC4" w:rsidP="000D6136">
            <w:pPr>
              <w:rPr>
                <w:rFonts w:asciiTheme="majorHAnsi" w:hAnsiTheme="majorHAnsi" w:cstheme="majorHAnsi"/>
              </w:rPr>
            </w:pPr>
            <w:r w:rsidRPr="002E75D4">
              <w:rPr>
                <w:rFonts w:asciiTheme="majorHAnsi" w:hAnsiTheme="majorHAnsi" w:cstheme="majorHAnsi"/>
              </w:rPr>
              <w:t>CH4</w:t>
            </w:r>
          </w:p>
        </w:tc>
        <w:tc>
          <w:tcPr>
            <w:tcW w:w="840" w:type="pct"/>
            <w:shd w:val="clear" w:color="auto" w:fill="002060"/>
            <w:hideMark/>
          </w:tcPr>
          <w:p w14:paraId="275675CE" w14:textId="77777777" w:rsidR="00C03EC4" w:rsidRPr="002E75D4" w:rsidRDefault="00C03EC4" w:rsidP="000D6136">
            <w:pPr>
              <w:rPr>
                <w:rFonts w:asciiTheme="majorHAnsi" w:hAnsiTheme="majorHAnsi" w:cstheme="majorHAnsi"/>
              </w:rPr>
            </w:pPr>
            <w:r w:rsidRPr="002E75D4">
              <w:rPr>
                <w:rFonts w:asciiTheme="majorHAnsi" w:hAnsiTheme="majorHAnsi" w:cstheme="majorHAnsi"/>
              </w:rPr>
              <w:t>N2O</w:t>
            </w:r>
          </w:p>
        </w:tc>
      </w:tr>
      <w:tr w:rsidR="00C03EC4" w:rsidRPr="002E75D4" w14:paraId="482D3683" w14:textId="77777777" w:rsidTr="000D6136">
        <w:trPr>
          <w:cnfStyle w:val="000000100000" w:firstRow="0" w:lastRow="0" w:firstColumn="0" w:lastColumn="0" w:oddVBand="0" w:evenVBand="0" w:oddHBand="1" w:evenHBand="0" w:firstRowFirstColumn="0" w:firstRowLastColumn="0" w:lastRowFirstColumn="0" w:lastRowLastColumn="0"/>
          <w:trHeight w:val="358"/>
        </w:trPr>
        <w:tc>
          <w:tcPr>
            <w:tcW w:w="2421" w:type="pct"/>
            <w:hideMark/>
          </w:tcPr>
          <w:p w14:paraId="76AA5566" w14:textId="77777777" w:rsidR="00C03EC4" w:rsidRPr="002E75D4" w:rsidRDefault="00C03EC4" w:rsidP="000D6136">
            <w:pPr>
              <w:rPr>
                <w:rFonts w:asciiTheme="majorHAnsi" w:hAnsiTheme="majorHAnsi" w:cstheme="majorHAnsi"/>
              </w:rPr>
            </w:pPr>
            <w:r w:rsidRPr="002E75D4">
              <w:rPr>
                <w:rFonts w:asciiTheme="majorHAnsi" w:hAnsiTheme="majorHAnsi" w:cstheme="majorHAnsi"/>
              </w:rPr>
              <w:t>Energie</w:t>
            </w:r>
          </w:p>
        </w:tc>
        <w:tc>
          <w:tcPr>
            <w:tcW w:w="870" w:type="pct"/>
            <w:shd w:val="clear" w:color="auto" w:fill="FFF2CC" w:themeFill="accent4" w:themeFillTint="33"/>
            <w:hideMark/>
          </w:tcPr>
          <w:p w14:paraId="7F9B2F59"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11 202</w:t>
            </w:r>
          </w:p>
        </w:tc>
        <w:tc>
          <w:tcPr>
            <w:tcW w:w="869" w:type="pct"/>
            <w:shd w:val="clear" w:color="auto" w:fill="C5E0B3" w:themeFill="accent6" w:themeFillTint="66"/>
            <w:hideMark/>
          </w:tcPr>
          <w:p w14:paraId="7F746EED"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1 811</w:t>
            </w:r>
          </w:p>
        </w:tc>
        <w:tc>
          <w:tcPr>
            <w:tcW w:w="840" w:type="pct"/>
            <w:shd w:val="clear" w:color="auto" w:fill="FEDEE9"/>
            <w:hideMark/>
          </w:tcPr>
          <w:p w14:paraId="30D07535"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602</w:t>
            </w:r>
          </w:p>
        </w:tc>
      </w:tr>
      <w:tr w:rsidR="00C03EC4" w:rsidRPr="002E75D4" w14:paraId="5071C22B" w14:textId="77777777" w:rsidTr="000D6136">
        <w:trPr>
          <w:trHeight w:val="358"/>
        </w:trPr>
        <w:tc>
          <w:tcPr>
            <w:tcW w:w="2421" w:type="pct"/>
            <w:hideMark/>
          </w:tcPr>
          <w:p w14:paraId="09912BA4" w14:textId="77777777" w:rsidR="00C03EC4" w:rsidRPr="002E75D4" w:rsidRDefault="00C03EC4" w:rsidP="000D6136">
            <w:pPr>
              <w:jc w:val="both"/>
              <w:rPr>
                <w:rFonts w:asciiTheme="majorHAnsi" w:hAnsiTheme="majorHAnsi" w:cstheme="majorHAnsi"/>
              </w:rPr>
            </w:pPr>
            <w:r w:rsidRPr="002E75D4">
              <w:rPr>
                <w:rFonts w:asciiTheme="majorHAnsi" w:hAnsiTheme="majorHAnsi" w:cstheme="majorHAnsi"/>
              </w:rPr>
              <w:t>Agriculture</w:t>
            </w:r>
          </w:p>
        </w:tc>
        <w:tc>
          <w:tcPr>
            <w:tcW w:w="870" w:type="pct"/>
            <w:shd w:val="clear" w:color="auto" w:fill="FFF6DD"/>
            <w:hideMark/>
          </w:tcPr>
          <w:p w14:paraId="2143E335"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75 469</w:t>
            </w:r>
          </w:p>
        </w:tc>
        <w:tc>
          <w:tcPr>
            <w:tcW w:w="869" w:type="pct"/>
            <w:shd w:val="clear" w:color="auto" w:fill="E2EFD9" w:themeFill="accent6" w:themeFillTint="33"/>
            <w:hideMark/>
          </w:tcPr>
          <w:p w14:paraId="44703DAC"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49 027</w:t>
            </w:r>
          </w:p>
        </w:tc>
        <w:tc>
          <w:tcPr>
            <w:tcW w:w="840" w:type="pct"/>
            <w:shd w:val="clear" w:color="auto" w:fill="FFF3F7"/>
            <w:hideMark/>
          </w:tcPr>
          <w:p w14:paraId="20FACC06"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26 441</w:t>
            </w:r>
          </w:p>
        </w:tc>
      </w:tr>
      <w:tr w:rsidR="00C03EC4" w:rsidRPr="002E75D4" w14:paraId="32EE2710" w14:textId="77777777" w:rsidTr="000D6136">
        <w:trPr>
          <w:cnfStyle w:val="000000100000" w:firstRow="0" w:lastRow="0" w:firstColumn="0" w:lastColumn="0" w:oddVBand="0" w:evenVBand="0" w:oddHBand="1" w:evenHBand="0" w:firstRowFirstColumn="0" w:firstRowLastColumn="0" w:lastRowFirstColumn="0" w:lastRowLastColumn="0"/>
          <w:trHeight w:val="358"/>
        </w:trPr>
        <w:tc>
          <w:tcPr>
            <w:tcW w:w="2421" w:type="pct"/>
            <w:hideMark/>
          </w:tcPr>
          <w:p w14:paraId="3732CA1B" w14:textId="77777777" w:rsidR="00C03EC4" w:rsidRPr="002E75D4" w:rsidRDefault="00C03EC4" w:rsidP="000D6136">
            <w:pPr>
              <w:jc w:val="both"/>
              <w:rPr>
                <w:rFonts w:asciiTheme="majorHAnsi" w:hAnsiTheme="majorHAnsi" w:cstheme="majorHAnsi"/>
              </w:rPr>
            </w:pPr>
            <w:r w:rsidRPr="002E75D4">
              <w:rPr>
                <w:rFonts w:asciiTheme="majorHAnsi" w:hAnsiTheme="majorHAnsi" w:cstheme="majorHAnsi"/>
              </w:rPr>
              <w:t>Forêts et Changement d’Affectation des terres</w:t>
            </w:r>
          </w:p>
        </w:tc>
        <w:tc>
          <w:tcPr>
            <w:tcW w:w="870" w:type="pct"/>
            <w:shd w:val="clear" w:color="auto" w:fill="FFF2CC" w:themeFill="accent4" w:themeFillTint="33"/>
            <w:hideMark/>
          </w:tcPr>
          <w:p w14:paraId="32804986"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-322 055</w:t>
            </w:r>
          </w:p>
        </w:tc>
        <w:tc>
          <w:tcPr>
            <w:tcW w:w="869" w:type="pct"/>
            <w:shd w:val="clear" w:color="auto" w:fill="C5E0B3" w:themeFill="accent6" w:themeFillTint="66"/>
            <w:hideMark/>
          </w:tcPr>
          <w:p w14:paraId="7E9159BD"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0</w:t>
            </w:r>
          </w:p>
        </w:tc>
        <w:tc>
          <w:tcPr>
            <w:tcW w:w="840" w:type="pct"/>
            <w:shd w:val="clear" w:color="auto" w:fill="FEDEE9"/>
            <w:hideMark/>
          </w:tcPr>
          <w:p w14:paraId="292CB37A"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0</w:t>
            </w:r>
          </w:p>
        </w:tc>
      </w:tr>
      <w:tr w:rsidR="00C03EC4" w:rsidRPr="002E75D4" w14:paraId="50074479" w14:textId="77777777" w:rsidTr="000D6136">
        <w:trPr>
          <w:trHeight w:val="358"/>
        </w:trPr>
        <w:tc>
          <w:tcPr>
            <w:tcW w:w="2421" w:type="pct"/>
            <w:hideMark/>
          </w:tcPr>
          <w:p w14:paraId="755D5F2F" w14:textId="77777777" w:rsidR="00C03EC4" w:rsidRPr="002E75D4" w:rsidRDefault="00C03EC4" w:rsidP="000D6136">
            <w:pPr>
              <w:jc w:val="both"/>
              <w:rPr>
                <w:rFonts w:asciiTheme="majorHAnsi" w:hAnsiTheme="majorHAnsi" w:cstheme="majorHAnsi"/>
              </w:rPr>
            </w:pPr>
            <w:r w:rsidRPr="002E75D4">
              <w:rPr>
                <w:rFonts w:asciiTheme="majorHAnsi" w:hAnsiTheme="majorHAnsi" w:cstheme="majorHAnsi"/>
              </w:rPr>
              <w:t>Déchets</w:t>
            </w:r>
          </w:p>
        </w:tc>
        <w:tc>
          <w:tcPr>
            <w:tcW w:w="870" w:type="pct"/>
            <w:shd w:val="clear" w:color="auto" w:fill="FFF6DD"/>
            <w:hideMark/>
          </w:tcPr>
          <w:p w14:paraId="1A198E21"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506</w:t>
            </w:r>
          </w:p>
        </w:tc>
        <w:tc>
          <w:tcPr>
            <w:tcW w:w="869" w:type="pct"/>
            <w:shd w:val="clear" w:color="auto" w:fill="E2EFD9" w:themeFill="accent6" w:themeFillTint="33"/>
            <w:hideMark/>
          </w:tcPr>
          <w:p w14:paraId="616E4BCC"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278</w:t>
            </w:r>
          </w:p>
        </w:tc>
        <w:tc>
          <w:tcPr>
            <w:tcW w:w="840" w:type="pct"/>
            <w:shd w:val="clear" w:color="auto" w:fill="FFF3F7"/>
            <w:hideMark/>
          </w:tcPr>
          <w:p w14:paraId="5F5EB9B5"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187</w:t>
            </w:r>
          </w:p>
        </w:tc>
      </w:tr>
      <w:tr w:rsidR="00C03EC4" w:rsidRPr="002E75D4" w14:paraId="122E0868" w14:textId="77777777" w:rsidTr="000D6136">
        <w:trPr>
          <w:cnfStyle w:val="000000100000" w:firstRow="0" w:lastRow="0" w:firstColumn="0" w:lastColumn="0" w:oddVBand="0" w:evenVBand="0" w:oddHBand="1" w:evenHBand="0" w:firstRowFirstColumn="0" w:firstRowLastColumn="0" w:lastRowFirstColumn="0" w:lastRowLastColumn="0"/>
          <w:trHeight w:val="358"/>
        </w:trPr>
        <w:tc>
          <w:tcPr>
            <w:tcW w:w="2421" w:type="pct"/>
            <w:shd w:val="clear" w:color="auto" w:fill="8EAADB" w:themeFill="accent1" w:themeFillTint="99"/>
            <w:hideMark/>
          </w:tcPr>
          <w:p w14:paraId="41DAA921" w14:textId="77777777" w:rsidR="00C03EC4" w:rsidRPr="002E75D4" w:rsidRDefault="00C03EC4" w:rsidP="000D6136">
            <w:pPr>
              <w:jc w:val="both"/>
              <w:rPr>
                <w:rFonts w:asciiTheme="majorHAnsi" w:hAnsiTheme="majorHAnsi" w:cstheme="majorHAnsi"/>
              </w:rPr>
            </w:pPr>
          </w:p>
        </w:tc>
        <w:tc>
          <w:tcPr>
            <w:tcW w:w="870" w:type="pct"/>
            <w:shd w:val="clear" w:color="auto" w:fill="FFE599" w:themeFill="accent4" w:themeFillTint="66"/>
            <w:hideMark/>
          </w:tcPr>
          <w:p w14:paraId="7C97224A"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-234 879</w:t>
            </w:r>
          </w:p>
        </w:tc>
        <w:tc>
          <w:tcPr>
            <w:tcW w:w="869" w:type="pct"/>
            <w:shd w:val="clear" w:color="auto" w:fill="A8D08D" w:themeFill="accent6" w:themeFillTint="99"/>
            <w:hideMark/>
          </w:tcPr>
          <w:p w14:paraId="4D0B5FC7"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51 115</w:t>
            </w:r>
          </w:p>
        </w:tc>
        <w:tc>
          <w:tcPr>
            <w:tcW w:w="840" w:type="pct"/>
            <w:shd w:val="clear" w:color="auto" w:fill="F8A6BB"/>
            <w:hideMark/>
          </w:tcPr>
          <w:p w14:paraId="4866288A" w14:textId="77777777" w:rsidR="00C03EC4" w:rsidRPr="002E75D4" w:rsidRDefault="00C03EC4" w:rsidP="000D6136">
            <w:pPr>
              <w:jc w:val="right"/>
              <w:rPr>
                <w:rFonts w:asciiTheme="majorHAnsi" w:hAnsiTheme="majorHAnsi" w:cstheme="majorHAnsi"/>
              </w:rPr>
            </w:pPr>
            <w:r w:rsidRPr="002E75D4">
              <w:rPr>
                <w:rFonts w:asciiTheme="majorHAnsi" w:hAnsiTheme="majorHAnsi" w:cstheme="majorHAnsi"/>
              </w:rPr>
              <w:t>27 230</w:t>
            </w:r>
          </w:p>
        </w:tc>
      </w:tr>
    </w:tbl>
    <w:p w14:paraId="0B054232" w14:textId="77777777" w:rsidR="00C03EC4" w:rsidRPr="002E75D4" w:rsidRDefault="00C03EC4" w:rsidP="00C03EC4">
      <w:pPr>
        <w:spacing w:after="0" w:line="240" w:lineRule="auto"/>
        <w:ind w:right="-188"/>
        <w:jc w:val="both"/>
        <w:rPr>
          <w:rFonts w:asciiTheme="majorHAnsi" w:hAnsiTheme="majorHAnsi" w:cstheme="majorHAnsi"/>
          <w:sz w:val="8"/>
          <w:szCs w:val="24"/>
          <w:lang w:val="fr-BE"/>
        </w:rPr>
      </w:pPr>
      <w:r w:rsidRPr="002E75D4">
        <w:rPr>
          <w:rFonts w:asciiTheme="majorHAnsi" w:hAnsiTheme="majorHAnsi" w:cstheme="majorHAnsi"/>
          <w:sz w:val="20"/>
          <w:szCs w:val="24"/>
          <w:lang w:val="fr-BE"/>
        </w:rPr>
        <w:t xml:space="preserve">          </w:t>
      </w:r>
    </w:p>
    <w:p w14:paraId="63C9256B" w14:textId="77777777" w:rsidR="00C03EC4" w:rsidRPr="002E75D4" w:rsidRDefault="00C03EC4" w:rsidP="00C03EC4">
      <w:pPr>
        <w:spacing w:after="0" w:line="240" w:lineRule="auto"/>
        <w:ind w:left="708" w:right="-188"/>
        <w:jc w:val="both"/>
        <w:rPr>
          <w:rFonts w:asciiTheme="majorHAnsi" w:hAnsiTheme="majorHAnsi" w:cstheme="majorHAnsi"/>
          <w:sz w:val="20"/>
          <w:szCs w:val="24"/>
          <w:lang w:val="fr-BE"/>
        </w:rPr>
      </w:pPr>
      <w:r w:rsidRPr="002E75D4">
        <w:rPr>
          <w:rFonts w:asciiTheme="majorHAnsi" w:hAnsiTheme="majorHAnsi" w:cstheme="majorHAnsi"/>
          <w:i/>
          <w:sz w:val="20"/>
          <w:szCs w:val="24"/>
          <w:u w:val="single"/>
          <w:lang w:val="fr-BE"/>
        </w:rPr>
        <w:t>NB</w:t>
      </w:r>
      <w:r w:rsidRPr="002E75D4">
        <w:rPr>
          <w:rFonts w:asciiTheme="majorHAnsi" w:hAnsiTheme="majorHAnsi" w:cstheme="majorHAnsi"/>
          <w:i/>
          <w:sz w:val="20"/>
          <w:szCs w:val="24"/>
          <w:lang w:val="fr-BE"/>
        </w:rPr>
        <w:t> :</w:t>
      </w:r>
      <w:r w:rsidRPr="002E75D4">
        <w:rPr>
          <w:rFonts w:asciiTheme="majorHAnsi" w:hAnsiTheme="majorHAnsi" w:cstheme="majorHAnsi"/>
          <w:sz w:val="20"/>
          <w:szCs w:val="24"/>
          <w:lang w:val="fr-BE"/>
        </w:rPr>
        <w:t xml:space="preserve"> Les valeurs positives traduisent les émissions et les valeurs négatives la séquestration de GES.</w:t>
      </w:r>
    </w:p>
    <w:p w14:paraId="36AD6EFC" w14:textId="77777777" w:rsidR="00C03EC4" w:rsidRPr="002E75D4" w:rsidRDefault="00C03EC4" w:rsidP="00C03EC4">
      <w:pPr>
        <w:spacing w:before="24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L’analyse de l’inventaire des émissions de GES du Mali met en relief l’existence d’un important potentiel d’atténuation, d’une part par la réduction des émissions dans les principaux secteurs émetteurs, à savoir l’agriculture et l’utilisation agricole des terres ainsi que l’énergie, et d’autre part par le renforcement des capacités d’absorption de GES par les forêts. </w:t>
      </w:r>
    </w:p>
    <w:p w14:paraId="36878FB7" w14:textId="77777777" w:rsidR="00C03EC4" w:rsidRPr="002E75D4" w:rsidRDefault="00C03EC4" w:rsidP="00C03EC4">
      <w:pPr>
        <w:spacing w:after="0"/>
        <w:jc w:val="both"/>
        <w:rPr>
          <w:rFonts w:asciiTheme="majorHAnsi" w:hAnsiTheme="majorHAnsi" w:cstheme="majorHAnsi"/>
          <w:sz w:val="24"/>
        </w:rPr>
      </w:pPr>
      <w:r w:rsidRPr="002E75D4">
        <w:rPr>
          <w:rFonts w:asciiTheme="majorHAnsi" w:hAnsiTheme="majorHAnsi" w:cstheme="majorHAnsi"/>
          <w:noProof/>
          <w:lang w:eastAsia="fr-FR"/>
        </w:rPr>
        <w:drawing>
          <wp:anchor distT="0" distB="0" distL="114300" distR="114300" simplePos="0" relativeHeight="251664384" behindDoc="0" locked="0" layoutInCell="1" allowOverlap="1" wp14:anchorId="20F16869" wp14:editId="683F4C99">
            <wp:simplePos x="0" y="0"/>
            <wp:positionH relativeFrom="column">
              <wp:posOffset>43180</wp:posOffset>
            </wp:positionH>
            <wp:positionV relativeFrom="paragraph">
              <wp:posOffset>267970</wp:posOffset>
            </wp:positionV>
            <wp:extent cx="6059805" cy="2169160"/>
            <wp:effectExtent l="0" t="0" r="17145" b="21590"/>
            <wp:wrapTopAndBottom/>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09A134FA" w14:textId="77777777" w:rsidR="00C03EC4" w:rsidRPr="002E75D4" w:rsidRDefault="00C03EC4" w:rsidP="00C03EC4">
      <w:pPr>
        <w:jc w:val="both"/>
        <w:rPr>
          <w:rFonts w:asciiTheme="majorHAnsi" w:hAnsiTheme="majorHAnsi" w:cstheme="majorHAnsi"/>
          <w:sz w:val="20"/>
        </w:rPr>
      </w:pPr>
      <w:r w:rsidRPr="00896D42">
        <w:rPr>
          <w:rFonts w:cstheme="minorHAnsi"/>
        </w:rPr>
        <w:t xml:space="preserve">  </w:t>
      </w:r>
      <w:r w:rsidRPr="00896D42">
        <w:rPr>
          <w:rFonts w:cstheme="minorHAnsi"/>
          <w:b/>
          <w:u w:val="single"/>
        </w:rPr>
        <w:t>Figure 1</w:t>
      </w:r>
      <w:r w:rsidRPr="002E75D4">
        <w:rPr>
          <w:rFonts w:cstheme="minorHAnsi"/>
        </w:rPr>
        <w:t> </w:t>
      </w:r>
      <w:r w:rsidRPr="002E75D4">
        <w:rPr>
          <w:rFonts w:cstheme="minorHAnsi"/>
          <w:sz w:val="18"/>
        </w:rPr>
        <w:t>:</w:t>
      </w:r>
      <w:r w:rsidRPr="002E75D4">
        <w:rPr>
          <w:rFonts w:asciiTheme="majorHAnsi" w:hAnsiTheme="majorHAnsi" w:cstheme="majorHAnsi"/>
          <w:sz w:val="18"/>
        </w:rPr>
        <w:t xml:space="preserve"> </w:t>
      </w:r>
      <w:r w:rsidRPr="002E75D4">
        <w:rPr>
          <w:rFonts w:asciiTheme="majorHAnsi" w:hAnsiTheme="majorHAnsi" w:cstheme="majorHAnsi"/>
          <w:sz w:val="20"/>
        </w:rPr>
        <w:t>Proportion par type de GES</w:t>
      </w:r>
    </w:p>
    <w:p w14:paraId="087A17F7" w14:textId="77777777" w:rsidR="00C03EC4" w:rsidRPr="00A021BD" w:rsidRDefault="00C03EC4" w:rsidP="00C03EC4">
      <w:pPr>
        <w:pStyle w:val="Paragraphedeliste"/>
        <w:numPr>
          <w:ilvl w:val="1"/>
          <w:numId w:val="67"/>
        </w:numPr>
        <w:spacing w:before="120" w:after="120" w:line="240" w:lineRule="auto"/>
        <w:rPr>
          <w:rFonts w:asciiTheme="majorHAnsi" w:hAnsiTheme="majorHAnsi" w:cstheme="majorHAnsi"/>
          <w:b/>
          <w:sz w:val="34"/>
          <w:szCs w:val="34"/>
        </w:rPr>
      </w:pPr>
      <w:r w:rsidRPr="00A021BD">
        <w:rPr>
          <w:rFonts w:asciiTheme="majorHAnsi" w:hAnsiTheme="majorHAnsi" w:cstheme="majorHAnsi"/>
          <w:b/>
          <w:sz w:val="34"/>
          <w:szCs w:val="34"/>
        </w:rPr>
        <w:t>SCENARIOS CLIMATIQUES DU MALI A L’HORIZON 2100</w:t>
      </w:r>
    </w:p>
    <w:p w14:paraId="4EF61A99"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La méthodologie utilisée pour ces scénarios exploite les outils MAGICC et SCENGEN du GIEC.</w:t>
      </w:r>
    </w:p>
    <w:p w14:paraId="52673E71"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résultats obtenus sont les valeurs escomptées sur l’ensemble du pays des paramètres climatiques aux horizons temporels compris entre 2015 et 2100 pour la pluviométrie et la température. </w:t>
      </w:r>
    </w:p>
    <w:p w14:paraId="5DD34D3D" w14:textId="77777777" w:rsidR="00C03EC4" w:rsidRPr="002E75D4" w:rsidRDefault="00C03EC4" w:rsidP="00C03EC4">
      <w:pPr>
        <w:spacing w:after="240" w:line="240" w:lineRule="auto"/>
        <w:jc w:val="both"/>
        <w:rPr>
          <w:rFonts w:asciiTheme="majorHAnsi" w:hAnsiTheme="majorHAnsi" w:cstheme="majorHAnsi"/>
          <w:sz w:val="24"/>
          <w:szCs w:val="24"/>
        </w:rPr>
      </w:pPr>
      <w:r w:rsidRPr="002E75D4">
        <w:rPr>
          <w:rFonts w:asciiTheme="majorHAnsi" w:hAnsiTheme="majorHAnsi" w:cstheme="majorHAnsi"/>
          <w:sz w:val="24"/>
          <w:szCs w:val="24"/>
        </w:rPr>
        <w:t>Pour toutes les localités du Mali, le scénario climatique le plus plausible prévoit une diminution de la pluviométrie dont les taux de pertes par rapport à la normale sont reportés dans le tableau 2.</w:t>
      </w:r>
    </w:p>
    <w:p w14:paraId="0E471559" w14:textId="77777777" w:rsidR="00C03EC4" w:rsidRPr="00EA7465" w:rsidRDefault="00C03EC4" w:rsidP="00C03EC4">
      <w:pPr>
        <w:pStyle w:val="Retraitcorpsdetexte3"/>
        <w:spacing w:after="0" w:line="240" w:lineRule="auto"/>
        <w:ind w:left="0"/>
        <w:jc w:val="both"/>
        <w:rPr>
          <w:rFonts w:asciiTheme="majorHAnsi" w:hAnsiTheme="majorHAnsi" w:cstheme="majorHAnsi"/>
          <w:sz w:val="22"/>
          <w:szCs w:val="24"/>
          <w:u w:val="single"/>
        </w:rPr>
      </w:pPr>
    </w:p>
    <w:p w14:paraId="580AB84B" w14:textId="77777777" w:rsidR="00C03EC4" w:rsidRPr="002E75D4" w:rsidRDefault="00C03EC4" w:rsidP="00C03EC4">
      <w:pPr>
        <w:pStyle w:val="Retraitcorpsdetexte3"/>
        <w:spacing w:after="0" w:line="240" w:lineRule="auto"/>
        <w:ind w:left="0"/>
        <w:jc w:val="both"/>
        <w:rPr>
          <w:rFonts w:asciiTheme="majorHAnsi" w:hAnsiTheme="majorHAnsi" w:cstheme="majorHAnsi"/>
          <w:sz w:val="22"/>
          <w:szCs w:val="24"/>
        </w:rPr>
      </w:pPr>
      <w:r w:rsidRPr="00EA7465">
        <w:rPr>
          <w:rFonts w:asciiTheme="minorHAnsi" w:hAnsiTheme="minorHAnsi" w:cstheme="minorHAnsi"/>
          <w:b/>
          <w:sz w:val="22"/>
          <w:szCs w:val="24"/>
          <w:u w:val="single"/>
        </w:rPr>
        <w:t>Tableau 2</w:t>
      </w:r>
      <w:r w:rsidRPr="002E75D4">
        <w:rPr>
          <w:rFonts w:asciiTheme="minorHAnsi" w:hAnsiTheme="minorHAnsi" w:cstheme="minorHAnsi"/>
          <w:b/>
          <w:sz w:val="22"/>
          <w:szCs w:val="24"/>
        </w:rPr>
        <w:t xml:space="preserve"> :</w:t>
      </w:r>
      <w:r w:rsidRPr="002E75D4">
        <w:rPr>
          <w:rFonts w:asciiTheme="majorHAnsi" w:hAnsiTheme="majorHAnsi" w:cstheme="majorHAnsi"/>
          <w:sz w:val="22"/>
          <w:szCs w:val="24"/>
        </w:rPr>
        <w:t xml:space="preserve"> Diminution de la pluviométrie</w:t>
      </w:r>
    </w:p>
    <w:p w14:paraId="2E4D0198" w14:textId="77777777" w:rsidR="00C03EC4" w:rsidRPr="002E75D4" w:rsidRDefault="00C03EC4" w:rsidP="00C03EC4">
      <w:pPr>
        <w:pStyle w:val="Retraitcorpsdetexte3"/>
        <w:spacing w:after="0" w:line="240" w:lineRule="auto"/>
        <w:ind w:left="0"/>
        <w:jc w:val="both"/>
        <w:rPr>
          <w:rFonts w:asciiTheme="majorHAnsi" w:hAnsiTheme="majorHAnsi" w:cstheme="majorHAnsi"/>
          <w:sz w:val="24"/>
          <w:szCs w:val="24"/>
        </w:rPr>
      </w:pPr>
    </w:p>
    <w:tbl>
      <w:tblPr>
        <w:tblStyle w:val="Grillemoyenne3-Accent3"/>
        <w:tblW w:w="0" w:type="auto"/>
        <w:tblLook w:val="0600" w:firstRow="0" w:lastRow="0" w:firstColumn="0" w:lastColumn="0" w:noHBand="1" w:noVBand="1"/>
      </w:tblPr>
      <w:tblGrid>
        <w:gridCol w:w="1522"/>
        <w:gridCol w:w="1618"/>
        <w:gridCol w:w="1619"/>
        <w:gridCol w:w="1620"/>
        <w:gridCol w:w="1620"/>
        <w:gridCol w:w="1620"/>
      </w:tblGrid>
      <w:tr w:rsidR="00C03EC4" w:rsidRPr="002E75D4" w14:paraId="61276C37" w14:textId="77777777" w:rsidTr="000D6136">
        <w:tc>
          <w:tcPr>
            <w:tcW w:w="1545" w:type="dxa"/>
            <w:shd w:val="clear" w:color="auto" w:fill="002060"/>
          </w:tcPr>
          <w:p w14:paraId="5B42F0B8" w14:textId="77777777" w:rsidR="00C03EC4" w:rsidRPr="002E75D4" w:rsidRDefault="00C03EC4" w:rsidP="000D6136">
            <w:pPr>
              <w:pStyle w:val="Retraitcorpsdetexte3"/>
              <w:spacing w:after="0" w:line="240" w:lineRule="auto"/>
              <w:ind w:left="0"/>
              <w:jc w:val="center"/>
              <w:rPr>
                <w:rFonts w:asciiTheme="majorHAnsi" w:hAnsiTheme="majorHAnsi" w:cstheme="majorHAnsi"/>
                <w:b/>
                <w:sz w:val="24"/>
                <w:szCs w:val="24"/>
              </w:rPr>
            </w:pPr>
            <w:r w:rsidRPr="002E75D4">
              <w:rPr>
                <w:rFonts w:asciiTheme="majorHAnsi" w:hAnsiTheme="majorHAnsi" w:cstheme="majorHAnsi"/>
                <w:b/>
                <w:sz w:val="24"/>
                <w:szCs w:val="24"/>
              </w:rPr>
              <w:t>Années</w:t>
            </w:r>
          </w:p>
        </w:tc>
        <w:tc>
          <w:tcPr>
            <w:tcW w:w="1653" w:type="dxa"/>
            <w:shd w:val="clear" w:color="auto" w:fill="002060"/>
          </w:tcPr>
          <w:p w14:paraId="3219AE24" w14:textId="77777777" w:rsidR="00C03EC4" w:rsidRPr="002E75D4" w:rsidRDefault="00C03EC4" w:rsidP="000D6136">
            <w:pPr>
              <w:pStyle w:val="Retraitcorpsdetexte3"/>
              <w:spacing w:after="0" w:line="240" w:lineRule="auto"/>
              <w:ind w:left="0"/>
              <w:jc w:val="center"/>
              <w:rPr>
                <w:rFonts w:asciiTheme="majorHAnsi" w:hAnsiTheme="majorHAnsi" w:cstheme="majorHAnsi"/>
                <w:b/>
                <w:sz w:val="24"/>
                <w:szCs w:val="24"/>
              </w:rPr>
            </w:pPr>
            <w:r w:rsidRPr="002E75D4">
              <w:rPr>
                <w:rFonts w:asciiTheme="majorHAnsi" w:hAnsiTheme="majorHAnsi" w:cstheme="majorHAnsi"/>
                <w:b/>
                <w:sz w:val="24"/>
                <w:szCs w:val="24"/>
              </w:rPr>
              <w:t>2020</w:t>
            </w:r>
          </w:p>
        </w:tc>
        <w:tc>
          <w:tcPr>
            <w:tcW w:w="1653" w:type="dxa"/>
            <w:shd w:val="clear" w:color="auto" w:fill="002060"/>
          </w:tcPr>
          <w:p w14:paraId="1E3A791E" w14:textId="77777777" w:rsidR="00C03EC4" w:rsidRPr="002E75D4" w:rsidRDefault="00C03EC4" w:rsidP="000D6136">
            <w:pPr>
              <w:pStyle w:val="Retraitcorpsdetexte3"/>
              <w:spacing w:after="0" w:line="240" w:lineRule="auto"/>
              <w:ind w:left="0"/>
              <w:jc w:val="center"/>
              <w:rPr>
                <w:rFonts w:asciiTheme="majorHAnsi" w:hAnsiTheme="majorHAnsi" w:cstheme="majorHAnsi"/>
                <w:b/>
                <w:sz w:val="24"/>
                <w:szCs w:val="24"/>
              </w:rPr>
            </w:pPr>
            <w:r w:rsidRPr="002E75D4">
              <w:rPr>
                <w:rFonts w:asciiTheme="majorHAnsi" w:hAnsiTheme="majorHAnsi" w:cstheme="majorHAnsi"/>
                <w:b/>
                <w:sz w:val="24"/>
                <w:szCs w:val="24"/>
              </w:rPr>
              <w:t>2025</w:t>
            </w:r>
          </w:p>
        </w:tc>
        <w:tc>
          <w:tcPr>
            <w:tcW w:w="1654" w:type="dxa"/>
            <w:shd w:val="clear" w:color="auto" w:fill="002060"/>
          </w:tcPr>
          <w:p w14:paraId="444525CD" w14:textId="77777777" w:rsidR="00C03EC4" w:rsidRPr="002E75D4" w:rsidRDefault="00C03EC4" w:rsidP="000D6136">
            <w:pPr>
              <w:pStyle w:val="Retraitcorpsdetexte3"/>
              <w:spacing w:after="0" w:line="240" w:lineRule="auto"/>
              <w:ind w:left="0"/>
              <w:jc w:val="center"/>
              <w:rPr>
                <w:rFonts w:asciiTheme="majorHAnsi" w:hAnsiTheme="majorHAnsi" w:cstheme="majorHAnsi"/>
                <w:b/>
                <w:sz w:val="24"/>
                <w:szCs w:val="24"/>
              </w:rPr>
            </w:pPr>
            <w:r w:rsidRPr="002E75D4">
              <w:rPr>
                <w:rFonts w:asciiTheme="majorHAnsi" w:hAnsiTheme="majorHAnsi" w:cstheme="majorHAnsi"/>
                <w:b/>
                <w:sz w:val="24"/>
                <w:szCs w:val="24"/>
              </w:rPr>
              <w:t>2030</w:t>
            </w:r>
          </w:p>
        </w:tc>
        <w:tc>
          <w:tcPr>
            <w:tcW w:w="1654" w:type="dxa"/>
            <w:shd w:val="clear" w:color="auto" w:fill="002060"/>
          </w:tcPr>
          <w:p w14:paraId="2BC80244" w14:textId="77777777" w:rsidR="00C03EC4" w:rsidRPr="002E75D4" w:rsidRDefault="00C03EC4" w:rsidP="000D6136">
            <w:pPr>
              <w:pStyle w:val="Retraitcorpsdetexte3"/>
              <w:spacing w:after="0" w:line="240" w:lineRule="auto"/>
              <w:ind w:left="0"/>
              <w:jc w:val="center"/>
              <w:rPr>
                <w:rFonts w:asciiTheme="majorHAnsi" w:hAnsiTheme="majorHAnsi" w:cstheme="majorHAnsi"/>
                <w:b/>
                <w:sz w:val="24"/>
                <w:szCs w:val="24"/>
              </w:rPr>
            </w:pPr>
            <w:r w:rsidRPr="002E75D4">
              <w:rPr>
                <w:rFonts w:asciiTheme="majorHAnsi" w:hAnsiTheme="majorHAnsi" w:cstheme="majorHAnsi"/>
                <w:b/>
                <w:sz w:val="24"/>
                <w:szCs w:val="24"/>
              </w:rPr>
              <w:t>2050</w:t>
            </w:r>
          </w:p>
        </w:tc>
        <w:tc>
          <w:tcPr>
            <w:tcW w:w="1654" w:type="dxa"/>
            <w:shd w:val="clear" w:color="auto" w:fill="002060"/>
          </w:tcPr>
          <w:p w14:paraId="330BA78C" w14:textId="77777777" w:rsidR="00C03EC4" w:rsidRPr="002E75D4" w:rsidRDefault="00C03EC4" w:rsidP="000D6136">
            <w:pPr>
              <w:pStyle w:val="Retraitcorpsdetexte3"/>
              <w:spacing w:after="0" w:line="240" w:lineRule="auto"/>
              <w:ind w:left="0"/>
              <w:jc w:val="center"/>
              <w:rPr>
                <w:rFonts w:asciiTheme="majorHAnsi" w:hAnsiTheme="majorHAnsi" w:cstheme="majorHAnsi"/>
                <w:b/>
                <w:sz w:val="24"/>
                <w:szCs w:val="24"/>
              </w:rPr>
            </w:pPr>
            <w:r w:rsidRPr="002E75D4">
              <w:rPr>
                <w:rFonts w:asciiTheme="majorHAnsi" w:hAnsiTheme="majorHAnsi" w:cstheme="majorHAnsi"/>
                <w:b/>
                <w:sz w:val="24"/>
                <w:szCs w:val="24"/>
              </w:rPr>
              <w:t>2100</w:t>
            </w:r>
          </w:p>
        </w:tc>
      </w:tr>
      <w:tr w:rsidR="00C03EC4" w:rsidRPr="002E75D4" w14:paraId="4B2A4415" w14:textId="77777777" w:rsidTr="000D6136">
        <w:tc>
          <w:tcPr>
            <w:tcW w:w="1545" w:type="dxa"/>
            <w:shd w:val="clear" w:color="auto" w:fill="D9E2F3" w:themeFill="accent1" w:themeFillTint="33"/>
          </w:tcPr>
          <w:p w14:paraId="406F6953" w14:textId="77777777" w:rsidR="00C03EC4" w:rsidRPr="002E75D4" w:rsidRDefault="00C03EC4" w:rsidP="000D6136">
            <w:pPr>
              <w:pStyle w:val="Retraitcorpsdetexte3"/>
              <w:spacing w:after="0" w:line="240" w:lineRule="auto"/>
              <w:ind w:left="0"/>
              <w:jc w:val="center"/>
              <w:rPr>
                <w:rFonts w:asciiTheme="majorHAnsi" w:hAnsiTheme="majorHAnsi" w:cstheme="majorHAnsi"/>
                <w:sz w:val="24"/>
                <w:szCs w:val="24"/>
              </w:rPr>
            </w:pPr>
            <w:r w:rsidRPr="002E75D4">
              <w:rPr>
                <w:rFonts w:asciiTheme="majorHAnsi" w:hAnsiTheme="majorHAnsi" w:cstheme="majorHAnsi"/>
                <w:sz w:val="24"/>
                <w:szCs w:val="24"/>
              </w:rPr>
              <w:t>Perte en %</w:t>
            </w:r>
          </w:p>
        </w:tc>
        <w:tc>
          <w:tcPr>
            <w:tcW w:w="1653" w:type="dxa"/>
            <w:shd w:val="clear" w:color="auto" w:fill="D9E2F3" w:themeFill="accent1" w:themeFillTint="33"/>
          </w:tcPr>
          <w:p w14:paraId="0D286BD9" w14:textId="77777777" w:rsidR="00C03EC4" w:rsidRPr="002E75D4" w:rsidRDefault="00C03EC4" w:rsidP="000D6136">
            <w:pPr>
              <w:pStyle w:val="Retraitcorpsdetexte3"/>
              <w:spacing w:after="0" w:line="240" w:lineRule="auto"/>
              <w:ind w:left="0"/>
              <w:jc w:val="center"/>
              <w:rPr>
                <w:rFonts w:asciiTheme="majorHAnsi" w:hAnsiTheme="majorHAnsi" w:cstheme="majorHAnsi"/>
                <w:sz w:val="24"/>
                <w:szCs w:val="24"/>
              </w:rPr>
            </w:pPr>
            <w:r w:rsidRPr="002E75D4">
              <w:rPr>
                <w:rFonts w:asciiTheme="majorHAnsi" w:hAnsiTheme="majorHAnsi" w:cstheme="majorHAnsi"/>
                <w:sz w:val="24"/>
                <w:szCs w:val="24"/>
              </w:rPr>
              <w:t>1 à 5</w:t>
            </w:r>
          </w:p>
        </w:tc>
        <w:tc>
          <w:tcPr>
            <w:tcW w:w="1653" w:type="dxa"/>
            <w:shd w:val="clear" w:color="auto" w:fill="D9E2F3" w:themeFill="accent1" w:themeFillTint="33"/>
          </w:tcPr>
          <w:p w14:paraId="62BE1D60" w14:textId="77777777" w:rsidR="00C03EC4" w:rsidRPr="002E75D4" w:rsidRDefault="00C03EC4" w:rsidP="000D6136">
            <w:pPr>
              <w:pStyle w:val="Retraitcorpsdetexte3"/>
              <w:spacing w:after="0" w:line="240" w:lineRule="auto"/>
              <w:ind w:left="0"/>
              <w:jc w:val="center"/>
              <w:rPr>
                <w:rFonts w:asciiTheme="majorHAnsi" w:hAnsiTheme="majorHAnsi" w:cstheme="majorHAnsi"/>
                <w:sz w:val="24"/>
                <w:szCs w:val="24"/>
              </w:rPr>
            </w:pPr>
            <w:r w:rsidRPr="002E75D4">
              <w:rPr>
                <w:rFonts w:asciiTheme="majorHAnsi" w:hAnsiTheme="majorHAnsi" w:cstheme="majorHAnsi"/>
                <w:sz w:val="24"/>
                <w:szCs w:val="24"/>
              </w:rPr>
              <w:t>2 à 6</w:t>
            </w:r>
          </w:p>
        </w:tc>
        <w:tc>
          <w:tcPr>
            <w:tcW w:w="1654" w:type="dxa"/>
            <w:shd w:val="clear" w:color="auto" w:fill="D9E2F3" w:themeFill="accent1" w:themeFillTint="33"/>
          </w:tcPr>
          <w:p w14:paraId="3279D8E6" w14:textId="77777777" w:rsidR="00C03EC4" w:rsidRPr="002E75D4" w:rsidRDefault="00C03EC4" w:rsidP="000D6136">
            <w:pPr>
              <w:pStyle w:val="Retraitcorpsdetexte3"/>
              <w:spacing w:after="0" w:line="240" w:lineRule="auto"/>
              <w:ind w:left="0"/>
              <w:jc w:val="center"/>
              <w:rPr>
                <w:rFonts w:asciiTheme="majorHAnsi" w:hAnsiTheme="majorHAnsi" w:cstheme="majorHAnsi"/>
                <w:sz w:val="24"/>
                <w:szCs w:val="24"/>
              </w:rPr>
            </w:pPr>
            <w:r w:rsidRPr="002E75D4">
              <w:rPr>
                <w:rFonts w:asciiTheme="majorHAnsi" w:hAnsiTheme="majorHAnsi" w:cstheme="majorHAnsi"/>
                <w:sz w:val="24"/>
                <w:szCs w:val="24"/>
              </w:rPr>
              <w:t>5 à 8</w:t>
            </w:r>
          </w:p>
        </w:tc>
        <w:tc>
          <w:tcPr>
            <w:tcW w:w="1654" w:type="dxa"/>
            <w:shd w:val="clear" w:color="auto" w:fill="D9E2F3" w:themeFill="accent1" w:themeFillTint="33"/>
          </w:tcPr>
          <w:p w14:paraId="0782AE0C" w14:textId="77777777" w:rsidR="00C03EC4" w:rsidRPr="002E75D4" w:rsidRDefault="00C03EC4" w:rsidP="000D6136">
            <w:pPr>
              <w:pStyle w:val="Retraitcorpsdetexte3"/>
              <w:spacing w:after="0" w:line="240" w:lineRule="auto"/>
              <w:ind w:left="0"/>
              <w:jc w:val="center"/>
              <w:rPr>
                <w:rFonts w:asciiTheme="majorHAnsi" w:hAnsiTheme="majorHAnsi" w:cstheme="majorHAnsi"/>
                <w:sz w:val="24"/>
                <w:szCs w:val="24"/>
              </w:rPr>
            </w:pPr>
            <w:r w:rsidRPr="002E75D4">
              <w:rPr>
                <w:rFonts w:asciiTheme="majorHAnsi" w:hAnsiTheme="majorHAnsi" w:cstheme="majorHAnsi"/>
                <w:sz w:val="24"/>
                <w:szCs w:val="24"/>
              </w:rPr>
              <w:t>5 à 10</w:t>
            </w:r>
          </w:p>
        </w:tc>
        <w:tc>
          <w:tcPr>
            <w:tcW w:w="1654" w:type="dxa"/>
            <w:shd w:val="clear" w:color="auto" w:fill="D9E2F3" w:themeFill="accent1" w:themeFillTint="33"/>
          </w:tcPr>
          <w:p w14:paraId="3B5BC891" w14:textId="77777777" w:rsidR="00C03EC4" w:rsidRPr="002E75D4" w:rsidRDefault="00C03EC4" w:rsidP="000D6136">
            <w:pPr>
              <w:pStyle w:val="Retraitcorpsdetexte3"/>
              <w:spacing w:after="0" w:line="240" w:lineRule="auto"/>
              <w:ind w:left="0"/>
              <w:jc w:val="center"/>
              <w:rPr>
                <w:rFonts w:asciiTheme="majorHAnsi" w:hAnsiTheme="majorHAnsi" w:cstheme="majorHAnsi"/>
                <w:sz w:val="24"/>
                <w:szCs w:val="24"/>
              </w:rPr>
            </w:pPr>
            <w:r w:rsidRPr="002E75D4">
              <w:rPr>
                <w:rFonts w:asciiTheme="majorHAnsi" w:hAnsiTheme="majorHAnsi" w:cstheme="majorHAnsi"/>
                <w:sz w:val="24"/>
                <w:szCs w:val="24"/>
              </w:rPr>
              <w:t>22</w:t>
            </w:r>
          </w:p>
        </w:tc>
      </w:tr>
    </w:tbl>
    <w:p w14:paraId="2F82B890" w14:textId="77777777" w:rsidR="00C03EC4" w:rsidRPr="002E75D4" w:rsidRDefault="00C03EC4" w:rsidP="00C03EC4">
      <w:pPr>
        <w:spacing w:before="24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résultats de cette étude ont montré que pour toutes les localités, on assisterait à une diminution de la pluviométrie qui se traduirait par un déplacement des isohyètes vers le sud </w:t>
      </w:r>
    </w:p>
    <w:p w14:paraId="44EF4B79" w14:textId="77777777" w:rsidR="00C03EC4" w:rsidRDefault="00C03EC4" w:rsidP="00C03EC4">
      <w:pPr>
        <w:spacing w:after="0" w:line="240" w:lineRule="auto"/>
        <w:jc w:val="both"/>
        <w:rPr>
          <w:rFonts w:asciiTheme="majorHAnsi" w:hAnsiTheme="majorHAnsi" w:cstheme="majorHAnsi"/>
          <w:sz w:val="24"/>
          <w:szCs w:val="24"/>
        </w:rPr>
      </w:pPr>
    </w:p>
    <w:p w14:paraId="2B2F2EA9" w14:textId="77777777" w:rsidR="00C03EC4" w:rsidRDefault="00C03EC4" w:rsidP="00C03EC4">
      <w:pPr>
        <w:spacing w:after="0" w:line="240" w:lineRule="auto"/>
        <w:jc w:val="both"/>
        <w:rPr>
          <w:rFonts w:asciiTheme="majorHAnsi" w:hAnsiTheme="majorHAnsi" w:cstheme="majorHAnsi"/>
          <w:sz w:val="24"/>
          <w:szCs w:val="24"/>
        </w:rPr>
      </w:pPr>
    </w:p>
    <w:p w14:paraId="4C1DCABB" w14:textId="77777777" w:rsidR="00C03EC4" w:rsidRDefault="00C03EC4" w:rsidP="00C03EC4">
      <w:pPr>
        <w:spacing w:after="0" w:line="240" w:lineRule="auto"/>
        <w:jc w:val="both"/>
        <w:rPr>
          <w:rFonts w:asciiTheme="majorHAnsi" w:hAnsiTheme="majorHAnsi" w:cstheme="majorHAnsi"/>
          <w:sz w:val="24"/>
          <w:szCs w:val="24"/>
        </w:rPr>
      </w:pPr>
    </w:p>
    <w:p w14:paraId="2DF750C2" w14:textId="77777777" w:rsidR="00C03EC4" w:rsidRDefault="00C03EC4" w:rsidP="00C03EC4">
      <w:pPr>
        <w:spacing w:after="0" w:line="240" w:lineRule="auto"/>
        <w:jc w:val="both"/>
        <w:rPr>
          <w:rFonts w:asciiTheme="majorHAnsi" w:hAnsiTheme="majorHAnsi" w:cstheme="majorHAnsi"/>
          <w:sz w:val="24"/>
          <w:szCs w:val="24"/>
        </w:rPr>
      </w:pPr>
    </w:p>
    <w:p w14:paraId="03E200BE" w14:textId="77777777" w:rsidR="00C03EC4" w:rsidRDefault="00C03EC4" w:rsidP="00C03EC4">
      <w:pPr>
        <w:spacing w:after="0" w:line="240" w:lineRule="auto"/>
        <w:jc w:val="both"/>
        <w:rPr>
          <w:rFonts w:asciiTheme="majorHAnsi" w:hAnsiTheme="majorHAnsi" w:cstheme="majorHAnsi"/>
          <w:sz w:val="24"/>
          <w:szCs w:val="24"/>
        </w:rPr>
      </w:pPr>
    </w:p>
    <w:p w14:paraId="10431978" w14:textId="77777777" w:rsidR="00C03EC4" w:rsidRPr="002E75D4" w:rsidRDefault="00C03EC4" w:rsidP="00C03EC4">
      <w:pPr>
        <w:autoSpaceDE w:val="0"/>
        <w:autoSpaceDN w:val="0"/>
        <w:adjustRightInd w:val="0"/>
        <w:spacing w:before="240" w:after="0" w:line="240" w:lineRule="auto"/>
        <w:jc w:val="both"/>
        <w:rPr>
          <w:rFonts w:asciiTheme="majorHAnsi" w:eastAsia="Calibri" w:hAnsiTheme="majorHAnsi" w:cstheme="majorHAnsi"/>
          <w:szCs w:val="24"/>
        </w:rPr>
      </w:pPr>
      <w:r w:rsidRPr="002E75D4">
        <w:rPr>
          <w:rFonts w:asciiTheme="majorHAnsi" w:eastAsia="Calibri" w:hAnsiTheme="majorHAnsi" w:cstheme="majorHAnsi"/>
          <w:noProof/>
          <w:sz w:val="24"/>
          <w:szCs w:val="24"/>
          <w:lang w:eastAsia="fr-FR"/>
        </w:rPr>
        <mc:AlternateContent>
          <mc:Choice Requires="wps">
            <w:drawing>
              <wp:anchor distT="0" distB="0" distL="114300" distR="114300" simplePos="0" relativeHeight="251659264" behindDoc="0" locked="0" layoutInCell="1" allowOverlap="1" wp14:anchorId="5F6A7C39" wp14:editId="132C6D1A">
                <wp:simplePos x="0" y="0"/>
                <wp:positionH relativeFrom="column">
                  <wp:posOffset>829668</wp:posOffset>
                </wp:positionH>
                <wp:positionV relativeFrom="paragraph">
                  <wp:posOffset>75637</wp:posOffset>
                </wp:positionV>
                <wp:extent cx="4330065" cy="2837645"/>
                <wp:effectExtent l="0" t="0" r="0" b="127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2837645"/>
                        </a:xfrm>
                        <a:prstGeom prst="rect">
                          <a:avLst/>
                        </a:prstGeom>
                        <a:solidFill>
                          <a:srgbClr val="FFFFFF"/>
                        </a:solidFill>
                        <a:ln w="9525">
                          <a:noFill/>
                          <a:miter lim="800000"/>
                          <a:headEnd/>
                          <a:tailEnd/>
                        </a:ln>
                      </wps:spPr>
                      <wps:txbx>
                        <w:txbxContent>
                          <w:p w14:paraId="610CA386" w14:textId="77777777" w:rsidR="00C03EC4" w:rsidRPr="00863E1B" w:rsidRDefault="00C03EC4" w:rsidP="00C03EC4">
                            <w:pPr>
                              <w:spacing w:after="0" w:line="240" w:lineRule="auto"/>
                              <w:jc w:val="center"/>
                              <w:rPr>
                                <w:sz w:val="24"/>
                                <w:szCs w:val="24"/>
                                <w14:textOutline w14:w="9525" w14:cap="rnd" w14:cmpd="sng" w14:algn="ctr">
                                  <w14:solidFill>
                                    <w14:srgbClr w14:val="FFFFFF"/>
                                  </w14:solidFill>
                                  <w14:prstDash w14:val="solid"/>
                                  <w14:bevel/>
                                </w14:textOutline>
                              </w:rPr>
                            </w:pPr>
                            <w:r w:rsidRPr="001B0A2B">
                              <w:rPr>
                                <w:rFonts w:ascii="Arial" w:hAnsi="Arial" w:cs="Arial"/>
                                <w:noProof/>
                                <w:lang w:eastAsia="fr-FR"/>
                                <w14:textOutline w14:w="9525" w14:cap="rnd" w14:cmpd="sng" w14:algn="ctr">
                                  <w14:solidFill>
                                    <w14:srgbClr w14:val="FFFFFF"/>
                                  </w14:solidFill>
                                  <w14:prstDash w14:val="solid"/>
                                  <w14:bevel/>
                                </w14:textOutline>
                              </w:rPr>
                              <w:drawing>
                                <wp:inline distT="0" distB="0" distL="0" distR="0" wp14:anchorId="7F9F7A9C" wp14:editId="242FC263">
                                  <wp:extent cx="3996744" cy="2691685"/>
                                  <wp:effectExtent l="0" t="0" r="0" b="0"/>
                                  <wp:docPr id="11" name="Image 11" descr="Isohyètes_sik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ohyètes_sikasso"/>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9047"/>
                                          <a:stretch/>
                                        </pic:blipFill>
                                        <pic:spPr bwMode="auto">
                                          <a:xfrm>
                                            <a:off x="0" y="0"/>
                                            <a:ext cx="3997656" cy="26922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6A7C39" id="_x0000_t202" coordsize="21600,21600" o:spt="202" path="m,l,21600r21600,l21600,xe">
                <v:stroke joinstyle="miter"/>
                <v:path gradientshapeok="t" o:connecttype="rect"/>
              </v:shapetype>
              <v:shape id="Zone de texte 2" o:spid="_x0000_s1026" type="#_x0000_t202" style="position:absolute;left:0;text-align:left;margin-left:65.35pt;margin-top:5.95pt;width:340.95pt;height:2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" stroked="f">
                <v:textbox>
                  <w:txbxContent>
                    <w:p w14:paraId="610CA386" w14:textId="77777777" w:rsidR="00C03EC4" w:rsidRPr="00863E1B" w:rsidRDefault="00C03EC4" w:rsidP="00C03EC4">
                      <w:pPr>
                        <w:spacing w:after="0" w:line="240" w:lineRule="auto"/>
                        <w:jc w:val="center"/>
                        <w:rPr>
                          <w:sz w:val="24"/>
                          <w:szCs w:val="24"/>
                          <w14:textOutline w14:w="9525" w14:cap="rnd" w14:cmpd="sng" w14:algn="ctr">
                            <w14:solidFill>
                              <w14:srgbClr w14:val="FFFFFF"/>
                            </w14:solidFill>
                            <w14:prstDash w14:val="solid"/>
                            <w14:bevel/>
                          </w14:textOutline>
                        </w:rPr>
                      </w:pPr>
                      <w:r w:rsidRPr="001B0A2B">
                        <w:rPr>
                          <w:rFonts w:ascii="Arial" w:hAnsi="Arial" w:cs="Arial"/>
                          <w:noProof/>
                          <w14:textOutline w14:w="9525" w14:cap="rnd" w14:cmpd="sng" w14:algn="ctr">
                            <w14:solidFill>
                              <w14:srgbClr w14:val="FFFFFF"/>
                            </w14:solidFill>
                            <w14:prstDash w14:val="solid"/>
                            <w14:bevel/>
                          </w14:textOutline>
                        </w:rPr>
                        <w:drawing>
                          <wp:inline distT="0" distB="0" distL="0" distR="0" wp14:anchorId="7F9F7A9C" wp14:editId="242FC263">
                            <wp:extent cx="3996744" cy="2691685"/>
                            <wp:effectExtent l="0" t="0" r="0" b="0"/>
                            <wp:docPr id="11" name="Image 11" descr="Isohyètes_sik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ohyètes_sikasso"/>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9047"/>
                                    <a:stretch/>
                                  </pic:blipFill>
                                  <pic:spPr bwMode="auto">
                                    <a:xfrm>
                                      <a:off x="0" y="0"/>
                                      <a:ext cx="3997656" cy="26922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934DD04" w14:textId="77777777" w:rsidR="00C03EC4" w:rsidRPr="002E75D4" w:rsidRDefault="00C03EC4" w:rsidP="00C03EC4">
      <w:pPr>
        <w:spacing w:after="0" w:line="240" w:lineRule="auto"/>
        <w:jc w:val="both"/>
        <w:rPr>
          <w:rFonts w:asciiTheme="majorHAnsi" w:hAnsiTheme="majorHAnsi" w:cstheme="majorHAnsi"/>
          <w:sz w:val="24"/>
          <w:szCs w:val="24"/>
        </w:rPr>
      </w:pPr>
    </w:p>
    <w:p w14:paraId="7C0FED24"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0A0986AD"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2A80536C"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180D0F08"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4806739B"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3A8DE903"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7130DA8C"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7A3D317B"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18A02902"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5351E5CD"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07E9CC88" w14:textId="77777777" w:rsidR="00C03EC4" w:rsidRPr="002E75D4" w:rsidRDefault="00C03EC4" w:rsidP="00C03EC4">
      <w:pPr>
        <w:autoSpaceDE w:val="0"/>
        <w:autoSpaceDN w:val="0"/>
        <w:adjustRightInd w:val="0"/>
        <w:spacing w:after="0" w:line="240" w:lineRule="auto"/>
        <w:jc w:val="both"/>
        <w:rPr>
          <w:rFonts w:asciiTheme="majorHAnsi" w:eastAsia="Calibri" w:hAnsiTheme="majorHAnsi" w:cstheme="majorHAnsi"/>
          <w:sz w:val="24"/>
          <w:szCs w:val="24"/>
        </w:rPr>
      </w:pPr>
    </w:p>
    <w:p w14:paraId="2F5835D4" w14:textId="77777777" w:rsidR="00C03EC4" w:rsidRPr="002E75D4" w:rsidRDefault="00C03EC4" w:rsidP="00C03EC4">
      <w:pPr>
        <w:autoSpaceDE w:val="0"/>
        <w:autoSpaceDN w:val="0"/>
        <w:adjustRightInd w:val="0"/>
        <w:spacing w:after="0" w:line="240" w:lineRule="auto"/>
        <w:ind w:left="2124"/>
        <w:jc w:val="both"/>
        <w:rPr>
          <w:rFonts w:asciiTheme="majorHAnsi" w:hAnsiTheme="majorHAnsi" w:cstheme="majorHAnsi"/>
          <w:snapToGrid w:val="0"/>
          <w:sz w:val="24"/>
          <w:szCs w:val="24"/>
        </w:rPr>
      </w:pPr>
      <w:r w:rsidRPr="002E75D4">
        <w:rPr>
          <w:rFonts w:asciiTheme="majorHAnsi" w:eastAsia="Calibri" w:hAnsiTheme="majorHAnsi" w:cstheme="majorHAnsi"/>
          <w:sz w:val="24"/>
          <w:szCs w:val="24"/>
        </w:rPr>
        <w:t xml:space="preserve">Figure 3 : </w:t>
      </w:r>
      <w:r w:rsidRPr="002E75D4">
        <w:rPr>
          <w:rFonts w:asciiTheme="majorHAnsi" w:hAnsiTheme="majorHAnsi" w:cstheme="majorHAnsi"/>
          <w:snapToGrid w:val="0"/>
          <w:sz w:val="24"/>
          <w:szCs w:val="24"/>
        </w:rPr>
        <w:t xml:space="preserve">Diminution de la pluviométrie et déplacement des </w:t>
      </w:r>
    </w:p>
    <w:p w14:paraId="6615D73C" w14:textId="77777777" w:rsidR="00C03EC4" w:rsidRPr="002E75D4" w:rsidRDefault="00C03EC4" w:rsidP="00C03EC4">
      <w:pPr>
        <w:autoSpaceDE w:val="0"/>
        <w:autoSpaceDN w:val="0"/>
        <w:adjustRightInd w:val="0"/>
        <w:spacing w:after="0" w:line="240" w:lineRule="auto"/>
        <w:ind w:left="2124"/>
        <w:jc w:val="both"/>
        <w:rPr>
          <w:rFonts w:asciiTheme="majorHAnsi" w:eastAsia="Calibri" w:hAnsiTheme="majorHAnsi" w:cstheme="majorHAnsi"/>
          <w:sz w:val="24"/>
          <w:szCs w:val="24"/>
        </w:rPr>
      </w:pPr>
      <w:r w:rsidRPr="002E75D4">
        <w:rPr>
          <w:rFonts w:asciiTheme="majorHAnsi" w:hAnsiTheme="majorHAnsi" w:cstheme="majorHAnsi"/>
          <w:snapToGrid w:val="0"/>
          <w:sz w:val="24"/>
          <w:szCs w:val="24"/>
        </w:rPr>
        <w:t>isohyètes vers le Sud dans la localité de Sikasso entre</w:t>
      </w:r>
    </w:p>
    <w:p w14:paraId="6EEF151A" w14:textId="77777777" w:rsidR="00C03EC4" w:rsidRPr="002E75D4" w:rsidRDefault="00C03EC4" w:rsidP="00C03EC4">
      <w:pPr>
        <w:autoSpaceDE w:val="0"/>
        <w:autoSpaceDN w:val="0"/>
        <w:adjustRightInd w:val="0"/>
        <w:spacing w:before="240" w:after="0" w:line="240" w:lineRule="auto"/>
        <w:jc w:val="both"/>
        <w:rPr>
          <w:rFonts w:asciiTheme="majorHAnsi" w:eastAsia="Calibri" w:hAnsiTheme="majorHAnsi" w:cstheme="majorHAnsi"/>
          <w:sz w:val="18"/>
          <w:szCs w:val="24"/>
        </w:rPr>
      </w:pPr>
      <w:r w:rsidRPr="002E75D4">
        <w:rPr>
          <w:rFonts w:eastAsia="Calibri" w:cstheme="minorHAnsi"/>
          <w:szCs w:val="24"/>
        </w:rPr>
        <w:t xml:space="preserve">     </w:t>
      </w:r>
      <w:r>
        <w:rPr>
          <w:rFonts w:eastAsia="Calibri" w:cstheme="minorHAnsi"/>
          <w:szCs w:val="24"/>
        </w:rPr>
        <w:t xml:space="preserve">                           </w:t>
      </w:r>
      <w:r w:rsidRPr="00EA7465">
        <w:rPr>
          <w:rFonts w:eastAsia="Calibri" w:cstheme="minorHAnsi"/>
          <w:b/>
          <w:szCs w:val="24"/>
          <w:u w:val="single"/>
        </w:rPr>
        <w:t>Figure 2</w:t>
      </w:r>
      <w:r w:rsidRPr="002E75D4">
        <w:rPr>
          <w:rFonts w:eastAsia="Calibri" w:cstheme="minorHAnsi"/>
          <w:b/>
          <w:szCs w:val="24"/>
        </w:rPr>
        <w:t> </w:t>
      </w:r>
      <w:r w:rsidRPr="002E75D4">
        <w:rPr>
          <w:rFonts w:eastAsia="Calibri" w:cstheme="minorHAnsi"/>
          <w:szCs w:val="24"/>
        </w:rPr>
        <w:t>:</w:t>
      </w:r>
      <w:r w:rsidRPr="002E75D4">
        <w:rPr>
          <w:rFonts w:asciiTheme="majorHAnsi" w:eastAsia="Calibri" w:hAnsiTheme="majorHAnsi" w:cstheme="majorHAnsi"/>
          <w:szCs w:val="24"/>
        </w:rPr>
        <w:t xml:space="preserve"> </w:t>
      </w:r>
      <w:r w:rsidRPr="002E75D4">
        <w:rPr>
          <w:rFonts w:asciiTheme="majorHAnsi" w:eastAsia="Calibri" w:hAnsiTheme="majorHAnsi" w:cstheme="majorHAnsi"/>
          <w:sz w:val="20"/>
          <w:szCs w:val="24"/>
        </w:rPr>
        <w:t>Déplacement des isohyètes</w:t>
      </w:r>
    </w:p>
    <w:p w14:paraId="65096D65" w14:textId="77777777" w:rsidR="00C03EC4" w:rsidRPr="002E75D4" w:rsidRDefault="00C03EC4" w:rsidP="00C03EC4">
      <w:pPr>
        <w:autoSpaceDE w:val="0"/>
        <w:autoSpaceDN w:val="0"/>
        <w:adjustRightInd w:val="0"/>
        <w:spacing w:before="240" w:after="0" w:line="240" w:lineRule="auto"/>
        <w:jc w:val="both"/>
        <w:rPr>
          <w:rFonts w:asciiTheme="majorHAnsi" w:hAnsiTheme="majorHAnsi" w:cstheme="majorHAnsi"/>
          <w:sz w:val="24"/>
          <w:szCs w:val="24"/>
        </w:rPr>
      </w:pPr>
      <w:r w:rsidRPr="002E75D4">
        <w:rPr>
          <w:rFonts w:asciiTheme="majorHAnsi" w:eastAsia="Calibri" w:hAnsiTheme="majorHAnsi" w:cstheme="majorHAnsi"/>
          <w:sz w:val="24"/>
          <w:szCs w:val="24"/>
        </w:rPr>
        <w:t xml:space="preserve">Les températures seraient en hausse dans toutes les localités du </w:t>
      </w:r>
      <w:r w:rsidRPr="002E75D4">
        <w:rPr>
          <w:rFonts w:asciiTheme="majorHAnsi" w:hAnsiTheme="majorHAnsi" w:cstheme="majorHAnsi"/>
          <w:sz w:val="24"/>
          <w:szCs w:val="24"/>
        </w:rPr>
        <w:t>Mali avec un taux moyen donné dans le tableau 3.</w:t>
      </w:r>
    </w:p>
    <w:p w14:paraId="35B6ABB6"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Cs w:val="24"/>
        </w:rPr>
      </w:pPr>
    </w:p>
    <w:p w14:paraId="3BE62DCC" w14:textId="77777777" w:rsidR="00C03EC4" w:rsidRPr="00EA7465" w:rsidRDefault="00C03EC4" w:rsidP="00C03EC4">
      <w:pPr>
        <w:autoSpaceDE w:val="0"/>
        <w:autoSpaceDN w:val="0"/>
        <w:adjustRightInd w:val="0"/>
        <w:spacing w:after="0" w:line="240" w:lineRule="auto"/>
        <w:jc w:val="both"/>
        <w:rPr>
          <w:rFonts w:asciiTheme="majorHAnsi" w:hAnsiTheme="majorHAnsi" w:cstheme="majorHAnsi"/>
          <w:szCs w:val="24"/>
          <w:u w:val="single"/>
        </w:rPr>
      </w:pPr>
    </w:p>
    <w:p w14:paraId="0877CC4C"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Cs w:val="24"/>
        </w:rPr>
      </w:pPr>
      <w:r w:rsidRPr="00EA7465">
        <w:rPr>
          <w:rFonts w:cstheme="minorHAnsi"/>
          <w:szCs w:val="24"/>
          <w:u w:val="single"/>
        </w:rPr>
        <w:t>Tableau 3 :</w:t>
      </w:r>
      <w:r w:rsidRPr="002E75D4">
        <w:rPr>
          <w:rFonts w:asciiTheme="majorHAnsi" w:hAnsiTheme="majorHAnsi" w:cstheme="majorHAnsi"/>
          <w:szCs w:val="24"/>
        </w:rPr>
        <w:t xml:space="preserve"> Hausse des températures</w:t>
      </w:r>
    </w:p>
    <w:p w14:paraId="76E52346"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Cs w:val="24"/>
        </w:rPr>
      </w:pPr>
    </w:p>
    <w:tbl>
      <w:tblPr>
        <w:tblStyle w:val="Grillemoyenne3-Accent3"/>
        <w:tblW w:w="5000" w:type="pct"/>
        <w:tblLook w:val="0600" w:firstRow="0" w:lastRow="0" w:firstColumn="0" w:lastColumn="0" w:noHBand="1" w:noVBand="1"/>
      </w:tblPr>
      <w:tblGrid>
        <w:gridCol w:w="2752"/>
        <w:gridCol w:w="1324"/>
        <w:gridCol w:w="1324"/>
        <w:gridCol w:w="1468"/>
        <w:gridCol w:w="1470"/>
        <w:gridCol w:w="1281"/>
      </w:tblGrid>
      <w:tr w:rsidR="00C03EC4" w:rsidRPr="002E75D4" w14:paraId="50FBE457" w14:textId="77777777" w:rsidTr="000D6136">
        <w:tc>
          <w:tcPr>
            <w:tcW w:w="1431" w:type="pct"/>
            <w:shd w:val="clear" w:color="auto" w:fill="002060"/>
          </w:tcPr>
          <w:p w14:paraId="4F871FF3" w14:textId="77777777" w:rsidR="00C03EC4" w:rsidRPr="002E75D4" w:rsidRDefault="00C03EC4" w:rsidP="000D6136">
            <w:pPr>
              <w:autoSpaceDE w:val="0"/>
              <w:autoSpaceDN w:val="0"/>
              <w:adjustRightInd w:val="0"/>
              <w:jc w:val="center"/>
              <w:rPr>
                <w:rFonts w:asciiTheme="majorHAnsi" w:hAnsiTheme="majorHAnsi" w:cstheme="majorHAnsi"/>
                <w:b/>
                <w:sz w:val="24"/>
                <w:szCs w:val="24"/>
              </w:rPr>
            </w:pPr>
            <w:r w:rsidRPr="002E75D4">
              <w:rPr>
                <w:rFonts w:asciiTheme="majorHAnsi" w:hAnsiTheme="majorHAnsi" w:cstheme="majorHAnsi"/>
                <w:b/>
                <w:sz w:val="24"/>
                <w:szCs w:val="24"/>
              </w:rPr>
              <w:t>Années</w:t>
            </w:r>
          </w:p>
        </w:tc>
        <w:tc>
          <w:tcPr>
            <w:tcW w:w="688" w:type="pct"/>
            <w:shd w:val="clear" w:color="auto" w:fill="002060"/>
          </w:tcPr>
          <w:p w14:paraId="0DE1A04C" w14:textId="77777777" w:rsidR="00C03EC4" w:rsidRPr="002E75D4" w:rsidRDefault="00C03EC4" w:rsidP="000D6136">
            <w:pPr>
              <w:autoSpaceDE w:val="0"/>
              <w:autoSpaceDN w:val="0"/>
              <w:adjustRightInd w:val="0"/>
              <w:jc w:val="center"/>
              <w:rPr>
                <w:rFonts w:asciiTheme="majorHAnsi" w:hAnsiTheme="majorHAnsi" w:cstheme="majorHAnsi"/>
                <w:b/>
                <w:sz w:val="24"/>
                <w:szCs w:val="24"/>
              </w:rPr>
            </w:pPr>
            <w:r w:rsidRPr="002E75D4">
              <w:rPr>
                <w:rFonts w:asciiTheme="majorHAnsi" w:hAnsiTheme="majorHAnsi" w:cstheme="majorHAnsi"/>
                <w:b/>
                <w:sz w:val="24"/>
                <w:szCs w:val="24"/>
              </w:rPr>
              <w:t>2020</w:t>
            </w:r>
          </w:p>
        </w:tc>
        <w:tc>
          <w:tcPr>
            <w:tcW w:w="688" w:type="pct"/>
            <w:shd w:val="clear" w:color="auto" w:fill="002060"/>
          </w:tcPr>
          <w:p w14:paraId="23CF301E" w14:textId="77777777" w:rsidR="00C03EC4" w:rsidRPr="002E75D4" w:rsidRDefault="00C03EC4" w:rsidP="000D6136">
            <w:pPr>
              <w:autoSpaceDE w:val="0"/>
              <w:autoSpaceDN w:val="0"/>
              <w:adjustRightInd w:val="0"/>
              <w:jc w:val="center"/>
              <w:rPr>
                <w:rFonts w:asciiTheme="majorHAnsi" w:hAnsiTheme="majorHAnsi" w:cstheme="majorHAnsi"/>
                <w:b/>
                <w:sz w:val="24"/>
                <w:szCs w:val="24"/>
              </w:rPr>
            </w:pPr>
            <w:r w:rsidRPr="002E75D4">
              <w:rPr>
                <w:rFonts w:asciiTheme="majorHAnsi" w:hAnsiTheme="majorHAnsi" w:cstheme="majorHAnsi"/>
                <w:b/>
                <w:sz w:val="24"/>
                <w:szCs w:val="24"/>
              </w:rPr>
              <w:t>2025</w:t>
            </w:r>
          </w:p>
        </w:tc>
        <w:tc>
          <w:tcPr>
            <w:tcW w:w="763" w:type="pct"/>
            <w:shd w:val="clear" w:color="auto" w:fill="002060"/>
          </w:tcPr>
          <w:p w14:paraId="5E75C4B1" w14:textId="77777777" w:rsidR="00C03EC4" w:rsidRPr="002E75D4" w:rsidRDefault="00C03EC4" w:rsidP="000D6136">
            <w:pPr>
              <w:autoSpaceDE w:val="0"/>
              <w:autoSpaceDN w:val="0"/>
              <w:adjustRightInd w:val="0"/>
              <w:jc w:val="center"/>
              <w:rPr>
                <w:rFonts w:asciiTheme="majorHAnsi" w:hAnsiTheme="majorHAnsi" w:cstheme="majorHAnsi"/>
                <w:b/>
                <w:sz w:val="24"/>
                <w:szCs w:val="24"/>
              </w:rPr>
            </w:pPr>
            <w:r w:rsidRPr="002E75D4">
              <w:rPr>
                <w:rFonts w:asciiTheme="majorHAnsi" w:hAnsiTheme="majorHAnsi" w:cstheme="majorHAnsi"/>
                <w:b/>
                <w:sz w:val="24"/>
                <w:szCs w:val="24"/>
              </w:rPr>
              <w:t>2030</w:t>
            </w:r>
          </w:p>
        </w:tc>
        <w:tc>
          <w:tcPr>
            <w:tcW w:w="764" w:type="pct"/>
            <w:shd w:val="clear" w:color="auto" w:fill="002060"/>
          </w:tcPr>
          <w:p w14:paraId="67079350" w14:textId="77777777" w:rsidR="00C03EC4" w:rsidRPr="002E75D4" w:rsidRDefault="00C03EC4" w:rsidP="000D6136">
            <w:pPr>
              <w:autoSpaceDE w:val="0"/>
              <w:autoSpaceDN w:val="0"/>
              <w:adjustRightInd w:val="0"/>
              <w:jc w:val="center"/>
              <w:rPr>
                <w:rFonts w:asciiTheme="majorHAnsi" w:hAnsiTheme="majorHAnsi" w:cstheme="majorHAnsi"/>
                <w:b/>
                <w:sz w:val="24"/>
                <w:szCs w:val="24"/>
              </w:rPr>
            </w:pPr>
            <w:r w:rsidRPr="002E75D4">
              <w:rPr>
                <w:rFonts w:asciiTheme="majorHAnsi" w:hAnsiTheme="majorHAnsi" w:cstheme="majorHAnsi"/>
                <w:b/>
                <w:sz w:val="24"/>
                <w:szCs w:val="24"/>
              </w:rPr>
              <w:t>2050</w:t>
            </w:r>
          </w:p>
        </w:tc>
        <w:tc>
          <w:tcPr>
            <w:tcW w:w="666" w:type="pct"/>
            <w:shd w:val="clear" w:color="auto" w:fill="002060"/>
          </w:tcPr>
          <w:p w14:paraId="28AB5C2D" w14:textId="77777777" w:rsidR="00C03EC4" w:rsidRPr="002E75D4" w:rsidRDefault="00C03EC4" w:rsidP="000D6136">
            <w:pPr>
              <w:autoSpaceDE w:val="0"/>
              <w:autoSpaceDN w:val="0"/>
              <w:adjustRightInd w:val="0"/>
              <w:jc w:val="center"/>
              <w:rPr>
                <w:rFonts w:asciiTheme="majorHAnsi" w:hAnsiTheme="majorHAnsi" w:cstheme="majorHAnsi"/>
                <w:b/>
                <w:sz w:val="24"/>
                <w:szCs w:val="24"/>
              </w:rPr>
            </w:pPr>
            <w:r w:rsidRPr="002E75D4">
              <w:rPr>
                <w:rFonts w:asciiTheme="majorHAnsi" w:hAnsiTheme="majorHAnsi" w:cstheme="majorHAnsi"/>
                <w:b/>
                <w:sz w:val="24"/>
                <w:szCs w:val="24"/>
              </w:rPr>
              <w:t>2100</w:t>
            </w:r>
          </w:p>
        </w:tc>
      </w:tr>
      <w:tr w:rsidR="00C03EC4" w:rsidRPr="002E75D4" w14:paraId="722D9139" w14:textId="77777777" w:rsidTr="000D6136">
        <w:tc>
          <w:tcPr>
            <w:tcW w:w="1431" w:type="pct"/>
            <w:shd w:val="clear" w:color="auto" w:fill="D9E2F3" w:themeFill="accent1" w:themeFillTint="33"/>
            <w:vAlign w:val="center"/>
          </w:tcPr>
          <w:p w14:paraId="6A73CE12" w14:textId="77777777" w:rsidR="00C03EC4" w:rsidRPr="002E75D4" w:rsidRDefault="00C03EC4" w:rsidP="000D6136">
            <w:pPr>
              <w:autoSpaceDE w:val="0"/>
              <w:autoSpaceDN w:val="0"/>
              <w:adjustRightInd w:val="0"/>
              <w:jc w:val="center"/>
              <w:rPr>
                <w:rFonts w:asciiTheme="majorHAnsi" w:hAnsiTheme="majorHAnsi" w:cstheme="majorHAnsi"/>
                <w:sz w:val="24"/>
                <w:szCs w:val="24"/>
              </w:rPr>
            </w:pPr>
            <w:r w:rsidRPr="002E75D4">
              <w:rPr>
                <w:rFonts w:asciiTheme="majorHAnsi" w:hAnsiTheme="majorHAnsi" w:cstheme="majorHAnsi"/>
                <w:szCs w:val="24"/>
              </w:rPr>
              <w:t>Augmentation de la température</w:t>
            </w:r>
          </w:p>
        </w:tc>
        <w:tc>
          <w:tcPr>
            <w:tcW w:w="688" w:type="pct"/>
            <w:shd w:val="clear" w:color="auto" w:fill="D9E2F3" w:themeFill="accent1" w:themeFillTint="33"/>
            <w:vAlign w:val="center"/>
          </w:tcPr>
          <w:p w14:paraId="77B57B07" w14:textId="77777777" w:rsidR="00C03EC4" w:rsidRPr="002E75D4" w:rsidRDefault="00C03EC4" w:rsidP="000D6136">
            <w:pPr>
              <w:jc w:val="center"/>
              <w:rPr>
                <w:rFonts w:asciiTheme="majorHAnsi" w:hAnsiTheme="majorHAnsi" w:cstheme="majorHAnsi"/>
                <w:sz w:val="24"/>
                <w:szCs w:val="24"/>
              </w:rPr>
            </w:pPr>
            <w:r w:rsidRPr="002E75D4">
              <w:rPr>
                <w:rFonts w:asciiTheme="majorHAnsi" w:hAnsiTheme="majorHAnsi" w:cstheme="majorHAnsi"/>
                <w:kern w:val="24"/>
                <w:sz w:val="24"/>
                <w:szCs w:val="24"/>
              </w:rPr>
              <w:t>0,5°C</w:t>
            </w:r>
          </w:p>
        </w:tc>
        <w:tc>
          <w:tcPr>
            <w:tcW w:w="688" w:type="pct"/>
            <w:shd w:val="clear" w:color="auto" w:fill="D9E2F3" w:themeFill="accent1" w:themeFillTint="33"/>
            <w:vAlign w:val="center"/>
          </w:tcPr>
          <w:p w14:paraId="083DAA5E" w14:textId="77777777" w:rsidR="00C03EC4" w:rsidRPr="002E75D4" w:rsidRDefault="00C03EC4" w:rsidP="000D6136">
            <w:pPr>
              <w:jc w:val="center"/>
              <w:rPr>
                <w:rFonts w:asciiTheme="majorHAnsi" w:hAnsiTheme="majorHAnsi" w:cstheme="majorHAnsi"/>
                <w:sz w:val="24"/>
                <w:szCs w:val="24"/>
              </w:rPr>
            </w:pPr>
            <w:r w:rsidRPr="002E75D4">
              <w:rPr>
                <w:rFonts w:asciiTheme="majorHAnsi" w:hAnsiTheme="majorHAnsi" w:cstheme="majorHAnsi"/>
                <w:kern w:val="24"/>
                <w:sz w:val="24"/>
                <w:szCs w:val="24"/>
              </w:rPr>
              <w:t>1°C</w:t>
            </w:r>
          </w:p>
        </w:tc>
        <w:tc>
          <w:tcPr>
            <w:tcW w:w="763" w:type="pct"/>
            <w:shd w:val="clear" w:color="auto" w:fill="D9E2F3" w:themeFill="accent1" w:themeFillTint="33"/>
            <w:vAlign w:val="center"/>
          </w:tcPr>
          <w:p w14:paraId="40BD7E23" w14:textId="77777777" w:rsidR="00C03EC4" w:rsidRPr="002E75D4" w:rsidRDefault="00C03EC4" w:rsidP="000D6136">
            <w:pPr>
              <w:jc w:val="center"/>
              <w:rPr>
                <w:rFonts w:asciiTheme="majorHAnsi" w:hAnsiTheme="majorHAnsi" w:cstheme="majorHAnsi"/>
                <w:sz w:val="24"/>
                <w:szCs w:val="24"/>
              </w:rPr>
            </w:pPr>
            <w:r w:rsidRPr="002E75D4">
              <w:rPr>
                <w:rFonts w:asciiTheme="majorHAnsi" w:hAnsiTheme="majorHAnsi" w:cstheme="majorHAnsi"/>
                <w:kern w:val="24"/>
                <w:sz w:val="24"/>
                <w:szCs w:val="24"/>
              </w:rPr>
              <w:t>1,5°C</w:t>
            </w:r>
          </w:p>
        </w:tc>
        <w:tc>
          <w:tcPr>
            <w:tcW w:w="764" w:type="pct"/>
            <w:shd w:val="clear" w:color="auto" w:fill="D9E2F3" w:themeFill="accent1" w:themeFillTint="33"/>
            <w:vAlign w:val="center"/>
          </w:tcPr>
          <w:p w14:paraId="409CE213" w14:textId="77777777" w:rsidR="00C03EC4" w:rsidRPr="002E75D4" w:rsidRDefault="00C03EC4" w:rsidP="000D6136">
            <w:pPr>
              <w:jc w:val="center"/>
              <w:rPr>
                <w:rFonts w:asciiTheme="majorHAnsi" w:hAnsiTheme="majorHAnsi" w:cstheme="majorHAnsi"/>
                <w:sz w:val="24"/>
                <w:szCs w:val="24"/>
              </w:rPr>
            </w:pPr>
            <w:r w:rsidRPr="002E75D4">
              <w:rPr>
                <w:rFonts w:asciiTheme="majorHAnsi" w:hAnsiTheme="majorHAnsi" w:cstheme="majorHAnsi"/>
                <w:kern w:val="24"/>
                <w:sz w:val="24"/>
                <w:szCs w:val="24"/>
              </w:rPr>
              <w:t>1,7°C</w:t>
            </w:r>
          </w:p>
        </w:tc>
        <w:tc>
          <w:tcPr>
            <w:tcW w:w="666" w:type="pct"/>
            <w:shd w:val="clear" w:color="auto" w:fill="D9E2F3" w:themeFill="accent1" w:themeFillTint="33"/>
            <w:vAlign w:val="center"/>
          </w:tcPr>
          <w:p w14:paraId="5D99D92E" w14:textId="77777777" w:rsidR="00C03EC4" w:rsidRPr="002E75D4" w:rsidRDefault="00C03EC4" w:rsidP="000D6136">
            <w:pPr>
              <w:jc w:val="center"/>
              <w:rPr>
                <w:rFonts w:asciiTheme="majorHAnsi" w:hAnsiTheme="majorHAnsi" w:cstheme="majorHAnsi"/>
                <w:sz w:val="24"/>
                <w:szCs w:val="24"/>
              </w:rPr>
            </w:pPr>
            <w:r w:rsidRPr="002E75D4">
              <w:rPr>
                <w:rFonts w:asciiTheme="majorHAnsi" w:hAnsiTheme="majorHAnsi" w:cstheme="majorHAnsi"/>
                <w:kern w:val="24"/>
                <w:sz w:val="24"/>
                <w:szCs w:val="24"/>
              </w:rPr>
              <w:t>3°C</w:t>
            </w:r>
          </w:p>
        </w:tc>
      </w:tr>
    </w:tbl>
    <w:p w14:paraId="59293DE7" w14:textId="77777777" w:rsidR="00C03EC4" w:rsidRPr="002E75D4" w:rsidRDefault="00C03EC4" w:rsidP="00C03EC4">
      <w:pPr>
        <w:spacing w:before="120" w:after="120" w:line="240" w:lineRule="auto"/>
        <w:jc w:val="both"/>
        <w:rPr>
          <w:rFonts w:asciiTheme="majorHAnsi" w:hAnsiTheme="majorHAnsi" w:cstheme="majorHAnsi"/>
          <w:sz w:val="24"/>
          <w:szCs w:val="24"/>
        </w:rPr>
      </w:pPr>
    </w:p>
    <w:p w14:paraId="1E38AD0C" w14:textId="77777777" w:rsidR="00C03EC4" w:rsidRPr="002E75D4" w:rsidRDefault="00C03EC4" w:rsidP="00C03EC4">
      <w:pPr>
        <w:spacing w:before="120"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Selon l’analyse des évènements extrêmes durant la période très humide du mois de juillet au Mali, la température maximale qui était de 30,5°C pour la période 1961-1990 serait de : </w:t>
      </w:r>
    </w:p>
    <w:p w14:paraId="7F536EEF" w14:textId="77777777" w:rsidR="00C03EC4" w:rsidRPr="002E75D4" w:rsidRDefault="00C03EC4" w:rsidP="00C03EC4">
      <w:pPr>
        <w:spacing w:before="120"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(i) 32,5°C en 2050 et l’occurrence des températures supérieures à cette valeur serait de 40% </w:t>
      </w:r>
    </w:p>
    <w:p w14:paraId="3ED3D543" w14:textId="77777777" w:rsidR="00C03EC4" w:rsidRPr="002E75D4" w:rsidRDefault="00C03EC4" w:rsidP="00C03EC4">
      <w:pPr>
        <w:spacing w:before="120"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(ii) 34,5°C en 2100 et l’occurrence des températures supérieures à cette valeur serait de 36%. </w:t>
      </w:r>
    </w:p>
    <w:p w14:paraId="5FA950B7"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Dans le cas d’une diminution de 20% de la pluviométrie (comme le prévoit le scénario plausible construit à partir des années 2075), on obtiendra une pluviométrie semblable à celle de la période sèche dans les mêmes zones climatiques.</w:t>
      </w:r>
    </w:p>
    <w:p w14:paraId="7D8A7377" w14:textId="77777777" w:rsidR="00C03EC4" w:rsidRPr="002E75D4" w:rsidRDefault="00C03EC4" w:rsidP="00C03EC4">
      <w:pPr>
        <w:autoSpaceDE w:val="0"/>
        <w:autoSpaceDN w:val="0"/>
        <w:adjustRightInd w:val="0"/>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Des situations de sécheresse seraient constatées sur la première moitié de l’hivernage (mois de mai, juin et juillet) à partir de l’horizon 2025 sur toutes les stations du pays pour une sensibilité climatique moyenne. </w:t>
      </w:r>
    </w:p>
    <w:p w14:paraId="437C8727" w14:textId="77777777" w:rsidR="00C03EC4" w:rsidRPr="002E75D4" w:rsidRDefault="00C03EC4" w:rsidP="00C03EC4">
      <w:pPr>
        <w:autoSpaceDE w:val="0"/>
        <w:autoSpaceDN w:val="0"/>
        <w:adjustRightInd w:val="0"/>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Suite à ces déficits pluviométriques, les sources d’approvisionnement naturelles en eau des communautés, constituées par les eaux de surface et les eaux souterra</w:t>
      </w:r>
    </w:p>
    <w:p w14:paraId="1B59C4CD"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5DDFB9F2"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6AED7212"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323E11BA"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123AE9B6"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7924961F"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0BA02D82"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1AFE8CA6"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32668D87"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235049FD" w14:textId="77777777" w:rsidR="00C03EC4" w:rsidRPr="002E75D4" w:rsidRDefault="00C03EC4" w:rsidP="00C03EC4">
      <w:pPr>
        <w:spacing w:before="120" w:after="120" w:line="240" w:lineRule="auto"/>
        <w:ind w:left="2694" w:right="707" w:hanging="2381"/>
        <w:rPr>
          <w:rFonts w:cstheme="minorHAnsi"/>
          <w:b/>
          <w:sz w:val="80"/>
          <w:szCs w:val="80"/>
        </w:rPr>
      </w:pPr>
      <w:r w:rsidRPr="002E75D4">
        <w:rPr>
          <w:rFonts w:asciiTheme="majorHAnsi" w:hAnsiTheme="majorHAnsi" w:cstheme="majorHAnsi"/>
          <w:noProof/>
          <w:sz w:val="24"/>
          <w:szCs w:val="24"/>
          <w:lang w:eastAsia="fr-FR"/>
        </w:rPr>
        <w:drawing>
          <wp:anchor distT="0" distB="0" distL="114300" distR="114300" simplePos="0" relativeHeight="251667456" behindDoc="1" locked="0" layoutInCell="1" allowOverlap="1" wp14:anchorId="2A62427B" wp14:editId="169D3FD4">
            <wp:simplePos x="0" y="0"/>
            <wp:positionH relativeFrom="column">
              <wp:posOffset>-800557</wp:posOffset>
            </wp:positionH>
            <wp:positionV relativeFrom="paragraph">
              <wp:posOffset>-2453792</wp:posOffset>
            </wp:positionV>
            <wp:extent cx="7841894" cy="12678699"/>
            <wp:effectExtent l="57150" t="38100" r="45085" b="46990"/>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1089_vector-background-design-red.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50356" cy="12692380"/>
                    </a:xfrm>
                    <a:prstGeom prst="rect">
                      <a:avLst/>
                    </a:prstGeom>
                    <a:solidFill>
                      <a:srgbClr val="FFFFFF">
                        <a:shade val="85000"/>
                      </a:srgbClr>
                    </a:solidFill>
                    <a:ln w="190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14:paraId="5A332F7F" w14:textId="77777777" w:rsidR="00C03EC4" w:rsidRPr="002E75D4" w:rsidRDefault="00C03EC4" w:rsidP="00C03EC4">
      <w:pPr>
        <w:spacing w:before="120" w:after="120" w:line="240" w:lineRule="auto"/>
        <w:ind w:right="707"/>
        <w:rPr>
          <w:rFonts w:cstheme="minorHAnsi"/>
          <w:b/>
          <w:sz w:val="80"/>
          <w:szCs w:val="80"/>
        </w:rPr>
      </w:pPr>
    </w:p>
    <w:p w14:paraId="78B20B00" w14:textId="77777777" w:rsidR="00C03EC4" w:rsidRPr="002E75D4" w:rsidRDefault="00C03EC4" w:rsidP="00C03EC4">
      <w:pPr>
        <w:spacing w:before="120" w:after="120" w:line="240" w:lineRule="auto"/>
        <w:ind w:right="707"/>
        <w:rPr>
          <w:rFonts w:cstheme="minorHAnsi"/>
          <w:b/>
          <w:sz w:val="80"/>
          <w:szCs w:val="80"/>
        </w:rPr>
      </w:pPr>
    </w:p>
    <w:p w14:paraId="615D0678" w14:textId="77777777" w:rsidR="00C03EC4" w:rsidRPr="00F24A9E" w:rsidRDefault="00C03EC4" w:rsidP="00C03EC4">
      <w:pPr>
        <w:spacing w:before="120" w:after="120" w:line="240" w:lineRule="auto"/>
        <w:ind w:right="707"/>
        <w:rPr>
          <w:rFonts w:cstheme="minorHAnsi"/>
          <w:b/>
          <w:sz w:val="120"/>
          <w:szCs w:val="120"/>
        </w:rPr>
      </w:pPr>
      <w:r w:rsidRPr="00F24A9E">
        <w:rPr>
          <w:rFonts w:cstheme="minorHAnsi"/>
          <w:b/>
          <w:sz w:val="120"/>
          <w:szCs w:val="120"/>
        </w:rPr>
        <w:t>CHAPITRE II</w:t>
      </w:r>
    </w:p>
    <w:p w14:paraId="48CE1305" w14:textId="77777777" w:rsidR="00C03EC4" w:rsidRPr="00F24A9E" w:rsidRDefault="00C03EC4" w:rsidP="00C03EC4">
      <w:pPr>
        <w:spacing w:before="120" w:after="120" w:line="240" w:lineRule="auto"/>
        <w:ind w:right="707"/>
        <w:rPr>
          <w:rFonts w:cstheme="majorHAnsi"/>
          <w:b/>
          <w:sz w:val="40"/>
          <w:szCs w:val="40"/>
        </w:rPr>
      </w:pPr>
      <w:r w:rsidRPr="00F24A9E">
        <w:rPr>
          <w:rFonts w:cstheme="majorHAnsi"/>
          <w:b/>
          <w:sz w:val="40"/>
          <w:szCs w:val="40"/>
        </w:rPr>
        <w:t>METHODOLOGIE D’ELABORATION DE LA CDN REVISEE</w:t>
      </w:r>
    </w:p>
    <w:p w14:paraId="24BC7019" w14:textId="77777777" w:rsidR="00C03EC4" w:rsidRPr="002E75D4" w:rsidRDefault="00C03EC4" w:rsidP="00C03EC4">
      <w:pPr>
        <w:spacing w:before="120" w:after="120" w:line="240" w:lineRule="auto"/>
        <w:ind w:left="2694" w:right="707" w:hanging="2381"/>
        <w:jc w:val="both"/>
        <w:rPr>
          <w:rFonts w:asciiTheme="majorHAnsi" w:hAnsiTheme="majorHAnsi" w:cstheme="majorHAnsi"/>
          <w:szCs w:val="24"/>
        </w:rPr>
      </w:pPr>
    </w:p>
    <w:p w14:paraId="6C253B48" w14:textId="77777777" w:rsidR="00C03EC4" w:rsidRPr="002E75D4" w:rsidRDefault="00C03EC4" w:rsidP="00C03EC4">
      <w:pPr>
        <w:autoSpaceDE w:val="0"/>
        <w:autoSpaceDN w:val="0"/>
        <w:adjustRightInd w:val="0"/>
        <w:spacing w:before="240" w:after="120"/>
        <w:jc w:val="both"/>
        <w:rPr>
          <w:rFonts w:asciiTheme="majorHAnsi" w:hAnsiTheme="majorHAnsi" w:cstheme="majorHAnsi"/>
          <w:sz w:val="24"/>
          <w:szCs w:val="24"/>
        </w:rPr>
      </w:pPr>
    </w:p>
    <w:p w14:paraId="6B602EF1" w14:textId="77777777" w:rsidR="00C03EC4" w:rsidRPr="002E75D4" w:rsidRDefault="00C03EC4" w:rsidP="00C03EC4">
      <w:pPr>
        <w:autoSpaceDE w:val="0"/>
        <w:autoSpaceDN w:val="0"/>
        <w:adjustRightInd w:val="0"/>
        <w:spacing w:before="240" w:after="120"/>
        <w:jc w:val="both"/>
        <w:rPr>
          <w:rFonts w:asciiTheme="majorHAnsi" w:hAnsiTheme="majorHAnsi" w:cstheme="majorHAnsi"/>
          <w:sz w:val="24"/>
          <w:szCs w:val="24"/>
        </w:rPr>
      </w:pPr>
    </w:p>
    <w:p w14:paraId="63F5C211" w14:textId="77777777" w:rsidR="00C03EC4" w:rsidRPr="002E75D4" w:rsidRDefault="00C03EC4" w:rsidP="00C03EC4">
      <w:pPr>
        <w:autoSpaceDE w:val="0"/>
        <w:autoSpaceDN w:val="0"/>
        <w:adjustRightInd w:val="0"/>
        <w:spacing w:before="240" w:after="120"/>
        <w:jc w:val="both"/>
        <w:rPr>
          <w:rFonts w:asciiTheme="majorHAnsi" w:hAnsiTheme="majorHAnsi" w:cstheme="majorHAnsi"/>
          <w:sz w:val="24"/>
          <w:szCs w:val="24"/>
        </w:rPr>
      </w:pPr>
    </w:p>
    <w:p w14:paraId="66230361" w14:textId="77777777" w:rsidR="00C03EC4" w:rsidRPr="002E75D4" w:rsidRDefault="00C03EC4" w:rsidP="00C03EC4">
      <w:pPr>
        <w:autoSpaceDE w:val="0"/>
        <w:autoSpaceDN w:val="0"/>
        <w:adjustRightInd w:val="0"/>
        <w:spacing w:before="240" w:after="120"/>
        <w:jc w:val="both"/>
        <w:rPr>
          <w:rFonts w:asciiTheme="majorHAnsi" w:hAnsiTheme="majorHAnsi" w:cstheme="majorHAnsi"/>
          <w:sz w:val="24"/>
          <w:szCs w:val="24"/>
        </w:rPr>
      </w:pPr>
    </w:p>
    <w:p w14:paraId="68458E15" w14:textId="77777777" w:rsidR="00C03EC4" w:rsidRPr="002E75D4" w:rsidRDefault="00C03EC4" w:rsidP="00C03EC4">
      <w:pPr>
        <w:autoSpaceDE w:val="0"/>
        <w:autoSpaceDN w:val="0"/>
        <w:adjustRightInd w:val="0"/>
        <w:spacing w:before="240" w:after="120"/>
        <w:jc w:val="both"/>
        <w:rPr>
          <w:rFonts w:asciiTheme="majorHAnsi" w:hAnsiTheme="majorHAnsi" w:cstheme="majorHAnsi"/>
          <w:sz w:val="24"/>
          <w:szCs w:val="24"/>
        </w:rPr>
      </w:pPr>
    </w:p>
    <w:p w14:paraId="4F68A068" w14:textId="77777777" w:rsidR="00C03EC4" w:rsidRPr="002E75D4" w:rsidRDefault="00C03EC4" w:rsidP="00C03EC4">
      <w:pPr>
        <w:autoSpaceDE w:val="0"/>
        <w:autoSpaceDN w:val="0"/>
        <w:adjustRightInd w:val="0"/>
        <w:spacing w:before="240" w:after="120"/>
        <w:jc w:val="both"/>
        <w:rPr>
          <w:rFonts w:asciiTheme="majorHAnsi" w:hAnsiTheme="majorHAnsi" w:cstheme="majorHAnsi"/>
          <w:sz w:val="24"/>
          <w:szCs w:val="24"/>
        </w:rPr>
      </w:pPr>
    </w:p>
    <w:p w14:paraId="7BDE9B61" w14:textId="77777777" w:rsidR="00C03EC4" w:rsidRPr="002E75D4" w:rsidRDefault="00C03EC4" w:rsidP="00C03EC4">
      <w:pPr>
        <w:autoSpaceDE w:val="0"/>
        <w:autoSpaceDN w:val="0"/>
        <w:adjustRightInd w:val="0"/>
        <w:spacing w:before="240" w:after="120"/>
        <w:jc w:val="both"/>
        <w:rPr>
          <w:rFonts w:asciiTheme="majorHAnsi" w:hAnsiTheme="majorHAnsi" w:cstheme="majorHAnsi"/>
          <w:sz w:val="24"/>
          <w:szCs w:val="24"/>
        </w:rPr>
      </w:pPr>
    </w:p>
    <w:p w14:paraId="25FBE422" w14:textId="77777777" w:rsidR="00C03EC4" w:rsidRPr="002E75D4" w:rsidRDefault="00C03EC4" w:rsidP="00C03EC4">
      <w:pPr>
        <w:autoSpaceDE w:val="0"/>
        <w:autoSpaceDN w:val="0"/>
        <w:adjustRightInd w:val="0"/>
        <w:spacing w:before="240" w:after="120"/>
        <w:jc w:val="both"/>
        <w:rPr>
          <w:rFonts w:asciiTheme="majorHAnsi" w:hAnsiTheme="majorHAnsi" w:cstheme="majorHAnsi"/>
          <w:sz w:val="24"/>
          <w:szCs w:val="24"/>
        </w:rPr>
      </w:pPr>
    </w:p>
    <w:p w14:paraId="4B6BA49F" w14:textId="77777777" w:rsidR="00C03EC4" w:rsidRDefault="00C03EC4" w:rsidP="00C03EC4">
      <w:pPr>
        <w:autoSpaceDE w:val="0"/>
        <w:autoSpaceDN w:val="0"/>
        <w:adjustRightInd w:val="0"/>
        <w:spacing w:before="240" w:after="120"/>
        <w:jc w:val="both"/>
        <w:rPr>
          <w:rFonts w:asciiTheme="majorHAnsi" w:hAnsiTheme="majorHAnsi" w:cstheme="majorHAnsi"/>
          <w:sz w:val="24"/>
          <w:szCs w:val="24"/>
        </w:rPr>
      </w:pPr>
    </w:p>
    <w:p w14:paraId="7B975168" w14:textId="77777777" w:rsidR="00C03EC4" w:rsidRDefault="00C03EC4" w:rsidP="00C03EC4">
      <w:pPr>
        <w:autoSpaceDE w:val="0"/>
        <w:autoSpaceDN w:val="0"/>
        <w:adjustRightInd w:val="0"/>
        <w:spacing w:before="240" w:after="120"/>
        <w:jc w:val="both"/>
        <w:rPr>
          <w:rFonts w:asciiTheme="majorHAnsi" w:hAnsiTheme="majorHAnsi" w:cstheme="majorHAnsi"/>
          <w:sz w:val="24"/>
          <w:szCs w:val="24"/>
        </w:rPr>
      </w:pPr>
    </w:p>
    <w:p w14:paraId="771B0754" w14:textId="77777777" w:rsidR="00C03EC4" w:rsidRDefault="00C03EC4" w:rsidP="00C03EC4">
      <w:pPr>
        <w:autoSpaceDE w:val="0"/>
        <w:autoSpaceDN w:val="0"/>
        <w:adjustRightInd w:val="0"/>
        <w:spacing w:before="240" w:after="120"/>
        <w:jc w:val="both"/>
        <w:rPr>
          <w:rFonts w:asciiTheme="majorHAnsi" w:hAnsiTheme="majorHAnsi" w:cstheme="majorHAnsi"/>
          <w:sz w:val="24"/>
          <w:szCs w:val="24"/>
        </w:rPr>
      </w:pPr>
    </w:p>
    <w:p w14:paraId="62F507CA" w14:textId="77777777" w:rsidR="00C03EC4" w:rsidRDefault="00C03EC4" w:rsidP="00C03EC4">
      <w:pPr>
        <w:autoSpaceDE w:val="0"/>
        <w:autoSpaceDN w:val="0"/>
        <w:adjustRightInd w:val="0"/>
        <w:spacing w:before="240" w:after="120"/>
        <w:jc w:val="both"/>
        <w:rPr>
          <w:rFonts w:asciiTheme="majorHAnsi" w:hAnsiTheme="majorHAnsi" w:cstheme="majorHAnsi"/>
          <w:sz w:val="24"/>
          <w:szCs w:val="24"/>
        </w:rPr>
      </w:pPr>
    </w:p>
    <w:p w14:paraId="6D38CE56" w14:textId="77777777" w:rsidR="00C03EC4" w:rsidRPr="00556BE5" w:rsidRDefault="00C03EC4" w:rsidP="00C03EC4">
      <w:pPr>
        <w:autoSpaceDE w:val="0"/>
        <w:autoSpaceDN w:val="0"/>
        <w:adjustRightInd w:val="0"/>
        <w:spacing w:before="240" w:after="120"/>
        <w:jc w:val="both"/>
        <w:rPr>
          <w:rFonts w:asciiTheme="majorHAnsi" w:hAnsiTheme="majorHAnsi" w:cstheme="majorHAnsi"/>
          <w:b/>
          <w:bCs/>
          <w:sz w:val="34"/>
          <w:szCs w:val="34"/>
        </w:rPr>
      </w:pPr>
      <w:r w:rsidRPr="00556BE5">
        <w:rPr>
          <w:rFonts w:asciiTheme="majorHAnsi" w:hAnsiTheme="majorHAnsi" w:cstheme="majorHAnsi"/>
          <w:b/>
          <w:bCs/>
          <w:sz w:val="34"/>
          <w:szCs w:val="34"/>
        </w:rPr>
        <w:t>2.1 UTILISATION DES LIGNES DIRECTIVES DU GIEC 2006</w:t>
      </w:r>
    </w:p>
    <w:p w14:paraId="3750A00B" w14:textId="77777777" w:rsidR="00C03EC4" w:rsidRDefault="00C03EC4" w:rsidP="00C03EC4">
      <w:pPr>
        <w:autoSpaceDE w:val="0"/>
        <w:autoSpaceDN w:val="0"/>
        <w:adjustRightInd w:val="0"/>
        <w:spacing w:before="240" w:after="120"/>
        <w:jc w:val="both"/>
        <w:rPr>
          <w:rFonts w:asciiTheme="majorHAnsi" w:hAnsiTheme="majorHAnsi" w:cstheme="majorHAnsi"/>
          <w:sz w:val="24"/>
          <w:szCs w:val="24"/>
        </w:rPr>
      </w:pPr>
      <w:r w:rsidRPr="002E75D4">
        <w:rPr>
          <w:rFonts w:asciiTheme="majorHAnsi" w:hAnsiTheme="majorHAnsi" w:cstheme="majorHAnsi"/>
          <w:noProof/>
          <w:sz w:val="24"/>
          <w:szCs w:val="24"/>
          <w:u w:val="single"/>
          <w:lang w:eastAsia="fr-FR"/>
        </w:rPr>
        <mc:AlternateContent>
          <mc:Choice Requires="wps">
            <w:drawing>
              <wp:anchor distT="45720" distB="45720" distL="114300" distR="114300" simplePos="0" relativeHeight="251661312" behindDoc="0" locked="0" layoutInCell="1" allowOverlap="1" wp14:anchorId="29A66502" wp14:editId="6F7DD205">
                <wp:simplePos x="0" y="0"/>
                <wp:positionH relativeFrom="margin">
                  <wp:posOffset>-5715</wp:posOffset>
                </wp:positionH>
                <wp:positionV relativeFrom="paragraph">
                  <wp:posOffset>568325</wp:posOffset>
                </wp:positionV>
                <wp:extent cx="6176010" cy="65582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010" cy="6558280"/>
                        </a:xfrm>
                        <a:prstGeom prst="rect">
                          <a:avLst/>
                        </a:prstGeom>
                        <a:solidFill>
                          <a:schemeClr val="accent1">
                            <a:lumMod val="20000"/>
                            <a:lumOff val="80000"/>
                          </a:schemeClr>
                        </a:solidFill>
                        <a:ln>
                          <a:noFill/>
                          <a:headEnd/>
                          <a:tailEnd/>
                        </a:ln>
                      </wps:spPr>
                      <wps:style>
                        <a:lnRef idx="1">
                          <a:schemeClr val="accent3"/>
                        </a:lnRef>
                        <a:fillRef idx="2">
                          <a:schemeClr val="accent3"/>
                        </a:fillRef>
                        <a:effectRef idx="1">
                          <a:schemeClr val="accent3"/>
                        </a:effectRef>
                        <a:fontRef idx="minor">
                          <a:schemeClr val="dk1"/>
                        </a:fontRef>
                      </wps:style>
                      <wps:txbx>
                        <w:txbxContent>
                          <w:p w14:paraId="5741126D" w14:textId="77777777" w:rsidR="00C03EC4" w:rsidRPr="002E75D4" w:rsidRDefault="00C03EC4" w:rsidP="00C03EC4">
                            <w:pPr>
                              <w:autoSpaceDE w:val="0"/>
                              <w:autoSpaceDN w:val="0"/>
                              <w:adjustRightInd w:val="0"/>
                              <w:spacing w:before="240" w:after="120" w:line="240" w:lineRule="auto"/>
                              <w:jc w:val="both"/>
                              <w:rPr>
                                <w:rFonts w:asciiTheme="majorHAnsi" w:hAnsiTheme="majorHAnsi" w:cstheme="majorHAnsi"/>
                                <w:b/>
                                <w:sz w:val="24"/>
                                <w:szCs w:val="24"/>
                              </w:rPr>
                            </w:pPr>
                            <w:r w:rsidRPr="002E75D4">
                              <w:rPr>
                                <w:rFonts w:cstheme="minorHAnsi"/>
                                <w:b/>
                                <w:sz w:val="24"/>
                                <w:szCs w:val="24"/>
                              </w:rPr>
                              <w:t>Encadré 1 </w:t>
                            </w:r>
                            <w:r w:rsidRPr="002E75D4">
                              <w:rPr>
                                <w:rFonts w:cstheme="minorHAnsi"/>
                                <w:b/>
                                <w:sz w:val="24"/>
                                <w:szCs w:val="24"/>
                                <w:lang w:val="fr-ML"/>
                              </w:rPr>
                              <w:t>:</w:t>
                            </w:r>
                            <w:r w:rsidRPr="002E75D4">
                              <w:rPr>
                                <w:rFonts w:asciiTheme="majorHAnsi" w:hAnsiTheme="majorHAnsi" w:cstheme="majorHAnsi"/>
                                <w:b/>
                                <w:sz w:val="24"/>
                                <w:szCs w:val="24"/>
                                <w:lang w:val="fr-ML"/>
                              </w:rPr>
                              <w:t xml:space="preserve"> Vue d'ensemble des lignes directrices</w:t>
                            </w:r>
                            <w:r w:rsidRPr="002E75D4">
                              <w:rPr>
                                <w:rFonts w:asciiTheme="majorHAnsi" w:hAnsiTheme="majorHAnsi" w:cstheme="majorHAnsi"/>
                                <w:b/>
                                <w:sz w:val="24"/>
                                <w:szCs w:val="24"/>
                              </w:rPr>
                              <w:t xml:space="preserve"> du GIEC </w:t>
                            </w:r>
                          </w:p>
                          <w:p w14:paraId="766CBDDB" w14:textId="77777777" w:rsidR="00C03EC4" w:rsidRDefault="00C03EC4" w:rsidP="00C03EC4">
                            <w:pPr>
                              <w:jc w:val="both"/>
                              <w:rPr>
                                <w:rFonts w:cstheme="minorHAnsi"/>
                                <w:b/>
                                <w:sz w:val="24"/>
                                <w:szCs w:val="24"/>
                              </w:rPr>
                            </w:pPr>
                            <w:r w:rsidRPr="002E75D4">
                              <w:rPr>
                                <w:rFonts w:asciiTheme="majorHAnsi" w:hAnsiTheme="majorHAnsi" w:cstheme="majorHAnsi"/>
                                <w:sz w:val="24"/>
                                <w:szCs w:val="24"/>
                              </w:rPr>
                              <w:t>L’élaboration des prévisions et du choix des données se sont faits au cours de réunions de concertation. Elles ont lieu au niveau sectoriel pour les quatre secteurs principaux d’émissions</w:t>
                            </w:r>
                            <w:r>
                              <w:rPr>
                                <w:rFonts w:asciiTheme="majorHAnsi" w:hAnsiTheme="majorHAnsi" w:cstheme="majorHAnsi"/>
                                <w:sz w:val="24"/>
                                <w:szCs w:val="24"/>
                              </w:rPr>
                              <w:t xml:space="preserve"> de</w:t>
                            </w:r>
                          </w:p>
                          <w:p w14:paraId="44BC67BB" w14:textId="77777777" w:rsidR="00C03EC4" w:rsidRPr="00821BD9" w:rsidRDefault="00C03EC4" w:rsidP="00C03EC4">
                            <w:pPr>
                              <w:jc w:val="both"/>
                              <w:rPr>
                                <w:rFonts w:cstheme="minorHAnsi"/>
                                <w:b/>
                                <w:sz w:val="24"/>
                                <w:szCs w:val="24"/>
                              </w:rPr>
                            </w:pPr>
                            <w:r w:rsidRPr="00821BD9">
                              <w:rPr>
                                <w:rFonts w:cstheme="minorHAnsi"/>
                                <w:b/>
                                <w:sz w:val="24"/>
                                <w:szCs w:val="24"/>
                              </w:rPr>
                              <w:t>Lignes directrices du GIEC pour les inventaires nationaux de gaz à effet de serre</w:t>
                            </w:r>
                          </w:p>
                          <w:p w14:paraId="0AE43D70" w14:textId="77777777" w:rsidR="00C03EC4" w:rsidRPr="00821BD9" w:rsidRDefault="00C03EC4" w:rsidP="00C03EC4">
                            <w:pPr>
                              <w:jc w:val="both"/>
                              <w:rPr>
                                <w:rFonts w:asciiTheme="majorHAnsi" w:hAnsiTheme="majorHAnsi" w:cstheme="majorHAnsi"/>
                                <w:sz w:val="24"/>
                                <w:szCs w:val="24"/>
                              </w:rPr>
                            </w:pPr>
                            <w:r w:rsidRPr="00821BD9">
                              <w:rPr>
                                <w:rFonts w:asciiTheme="majorHAnsi" w:hAnsiTheme="majorHAnsi" w:cstheme="majorHAnsi"/>
                                <w:sz w:val="24"/>
                                <w:szCs w:val="24"/>
                              </w:rPr>
                              <w:t>Les Lignes directrices du GIEC pour les inventaires nationaux de gaz à effet de serre sont un ensemble de guides qui rassemblent des méthodes et des données par défaut pouvant être utilisées pour quantifier les émissions de tous les principaux secteurs sources. L'objectif des Lignes directrices du GIEC est de fournir un ensemble commun de méthodologies et un cadre de déclaration des émissions de GES afin de faciliter la transparence dans la quantification et la comptabilisation des émissions de GES entre les pays. Les Lignes directrices 2006 du GIEC (c'est-à-dire publiées en 2006) constituent l'ensemble le plus complet de lignes directrices. En 2019, un " raffinement " des Lignes directrices 2006 du GIEC a été publié ; il comprend des méthodologies mises à jour et des données par défaut actualisées dans certains secteurs, qui, pour les secteurs mis à jour, remplacent les Lignes directrices 2006 du GIEC.</w:t>
                            </w:r>
                          </w:p>
                          <w:p w14:paraId="7115B69E" w14:textId="77777777" w:rsidR="00C03EC4" w:rsidRPr="00821BD9" w:rsidRDefault="00C03EC4" w:rsidP="00C03EC4">
                            <w:pPr>
                              <w:jc w:val="both"/>
                              <w:rPr>
                                <w:rFonts w:asciiTheme="majorHAnsi" w:hAnsiTheme="majorHAnsi" w:cstheme="majorHAnsi"/>
                                <w:sz w:val="24"/>
                                <w:szCs w:val="24"/>
                              </w:rPr>
                            </w:pPr>
                            <w:r w:rsidRPr="00821BD9">
                              <w:rPr>
                                <w:rFonts w:asciiTheme="majorHAnsi" w:hAnsiTheme="majorHAnsi" w:cstheme="majorHAnsi"/>
                                <w:sz w:val="24"/>
                                <w:szCs w:val="24"/>
                              </w:rPr>
                              <w:t xml:space="preserve">Les Lignes directrices du GIEC visent à être applicables à l'échelle mondiale, c'est-à-dire de la même manière dans les pays disposant d'importantes ressources en données et dans ceux où les données sont limitées. En tant que telles, différentes méthodologies de complexité variable sont incluses dans les Lignes directrices pour tenir compte de la disponibilité des données dans les différents pays. Les méthodologies sont classées en 3 </w:t>
                            </w:r>
                            <w:r w:rsidRPr="00821BD9">
                              <w:rPr>
                                <w:rFonts w:asciiTheme="majorHAnsi" w:hAnsiTheme="majorHAnsi" w:cstheme="majorHAnsi"/>
                                <w:i/>
                                <w:sz w:val="24"/>
                                <w:szCs w:val="24"/>
                              </w:rPr>
                              <w:t xml:space="preserve">niveaux </w:t>
                            </w:r>
                            <w:r w:rsidRPr="00821BD9">
                              <w:rPr>
                                <w:rFonts w:asciiTheme="majorHAnsi" w:hAnsiTheme="majorHAnsi" w:cstheme="majorHAnsi"/>
                                <w:sz w:val="24"/>
                                <w:szCs w:val="24"/>
                              </w:rPr>
                              <w:t xml:space="preserve">qui reflètent les méthodes de complexité croissante et les exigences en matière de données. </w:t>
                            </w:r>
                          </w:p>
                          <w:p w14:paraId="690BCFCB" w14:textId="77777777" w:rsidR="00C03EC4" w:rsidRPr="009B79FB" w:rsidRDefault="00C03EC4" w:rsidP="00C03EC4">
                            <w:pPr>
                              <w:jc w:val="both"/>
                              <w:rPr>
                                <w:rFonts w:ascii="Times New Roman" w:hAnsi="Times New Roman"/>
                              </w:rPr>
                            </w:pPr>
                            <w:r w:rsidRPr="00821BD9">
                              <w:rPr>
                                <w:rFonts w:asciiTheme="majorHAnsi" w:hAnsiTheme="majorHAnsi" w:cstheme="majorHAnsi"/>
                                <w:sz w:val="24"/>
                                <w:szCs w:val="24"/>
                              </w:rPr>
                              <w:t xml:space="preserve">Les méthodologies de </w:t>
                            </w:r>
                            <w:r w:rsidRPr="00821BD9">
                              <w:rPr>
                                <w:rFonts w:asciiTheme="majorHAnsi" w:hAnsiTheme="majorHAnsi" w:cstheme="majorHAnsi"/>
                                <w:b/>
                                <w:sz w:val="24"/>
                                <w:szCs w:val="24"/>
                              </w:rPr>
                              <w:t xml:space="preserve">niveau 1 </w:t>
                            </w:r>
                            <w:r w:rsidRPr="00821BD9">
                              <w:rPr>
                                <w:rFonts w:asciiTheme="majorHAnsi" w:hAnsiTheme="majorHAnsi" w:cstheme="majorHAnsi"/>
                                <w:sz w:val="24"/>
                                <w:szCs w:val="24"/>
                              </w:rPr>
                              <w:t xml:space="preserve">sont les plus simples, et peuvent être appliquées avec un minimum de données, et souvent des données par défaut sont fournies pour être utilisées lorsqu'il n'existe pas de données pour ces secteurs. Les méthodologies de </w:t>
                            </w:r>
                            <w:r w:rsidRPr="00821BD9">
                              <w:rPr>
                                <w:rFonts w:asciiTheme="majorHAnsi" w:hAnsiTheme="majorHAnsi" w:cstheme="majorHAnsi"/>
                                <w:b/>
                                <w:sz w:val="24"/>
                                <w:szCs w:val="24"/>
                              </w:rPr>
                              <w:t xml:space="preserve">niveau 2 </w:t>
                            </w:r>
                            <w:r w:rsidRPr="00821BD9">
                              <w:rPr>
                                <w:rFonts w:asciiTheme="majorHAnsi" w:hAnsiTheme="majorHAnsi" w:cstheme="majorHAnsi"/>
                                <w:sz w:val="24"/>
                                <w:szCs w:val="24"/>
                              </w:rPr>
                              <w:t xml:space="preserve">sont plus complexes et requièrent davantage de données spécifiques au niveau national que celles requises pour le niveau 1. Enfin, les méthodes de </w:t>
                            </w:r>
                            <w:r w:rsidRPr="00821BD9">
                              <w:rPr>
                                <w:rFonts w:asciiTheme="majorHAnsi" w:hAnsiTheme="majorHAnsi" w:cstheme="majorHAnsi"/>
                                <w:b/>
                                <w:sz w:val="24"/>
                                <w:szCs w:val="24"/>
                              </w:rPr>
                              <w:t xml:space="preserve">niveau 3 </w:t>
                            </w:r>
                            <w:r w:rsidRPr="00821BD9">
                              <w:rPr>
                                <w:rFonts w:asciiTheme="majorHAnsi" w:hAnsiTheme="majorHAnsi" w:cstheme="majorHAnsi"/>
                                <w:sz w:val="24"/>
                                <w:szCs w:val="24"/>
                              </w:rPr>
                              <w:t>so</w:t>
                            </w:r>
                            <w:r w:rsidRPr="00821BD9">
                              <w:rPr>
                                <w:rFonts w:asciiTheme="majorHAnsi" w:hAnsiTheme="majorHAnsi" w:cstheme="majorHAnsi"/>
                              </w:rPr>
                              <w:t>nt les plus complexes et nécessitent souvent une mesure directe des émissions à la source pour fournir des facteurs d'émission appropriés au niveau local.</w:t>
                            </w:r>
                            <w:r w:rsidRPr="00842111">
                              <w:rPr>
                                <w:rFonts w:asciiTheme="majorHAnsi" w:hAnsiTheme="majorHAnsi" w:cstheme="majorHAnsi"/>
                              </w:rPr>
                              <w:t xml:space="preserve"> </w:t>
                            </w:r>
                          </w:p>
                          <w:p w14:paraId="052F9D74" w14:textId="77777777" w:rsidR="00C03EC4" w:rsidRPr="009B79FB" w:rsidRDefault="00C03EC4" w:rsidP="00C03EC4">
                            <w:pPr>
                              <w:rPr>
                                <w:rFonts w:ascii="Times New Roman" w:hAnsi="Times New Roman"/>
                              </w:rPr>
                            </w:pPr>
                          </w:p>
                          <w:p w14:paraId="0EB8248A" w14:textId="77777777" w:rsidR="00C03EC4" w:rsidRPr="009B79FB" w:rsidRDefault="00C03EC4" w:rsidP="00C03EC4">
                            <w:pPr>
                              <w:rPr>
                                <w:rFonts w:ascii="Times New Roman" w:hAnsi="Times New Roman"/>
                              </w:rPr>
                            </w:pPr>
                          </w:p>
                          <w:p w14:paraId="495E7ADA" w14:textId="77777777" w:rsidR="00C03EC4" w:rsidRPr="009B79FB" w:rsidRDefault="00C03EC4" w:rsidP="00C03EC4">
                            <w:pPr>
                              <w:rPr>
                                <w:rFonts w:ascii="Times New Roman" w:hAnsi="Times New Roman"/>
                              </w:rPr>
                            </w:pPr>
                          </w:p>
                          <w:p w14:paraId="489BEA4A" w14:textId="77777777" w:rsidR="00C03EC4" w:rsidRPr="009B79FB" w:rsidRDefault="00C03EC4" w:rsidP="00C03EC4">
                            <w:pPr>
                              <w:rPr>
                                <w:rFonts w:ascii="Times New Roman" w:hAnsi="Times New Roman"/>
                              </w:rPr>
                            </w:pPr>
                          </w:p>
                          <w:p w14:paraId="207804B5" w14:textId="77777777" w:rsidR="00C03EC4" w:rsidRPr="009B79FB" w:rsidRDefault="00C03EC4" w:rsidP="00C03EC4">
                            <w:pPr>
                              <w:rPr>
                                <w:rFonts w:ascii="Times New Roman" w:hAnsi="Times New Roman"/>
                              </w:rPr>
                            </w:pPr>
                          </w:p>
                          <w:p w14:paraId="375955D7" w14:textId="77777777" w:rsidR="00C03EC4" w:rsidRPr="009B79FB" w:rsidRDefault="00C03EC4" w:rsidP="00C03EC4">
                            <w:pPr>
                              <w:rPr>
                                <w:rFonts w:ascii="Times New Roman" w:hAnsi="Times New Roman"/>
                              </w:rPr>
                            </w:pPr>
                          </w:p>
                          <w:p w14:paraId="793EFAE2" w14:textId="77777777" w:rsidR="00C03EC4" w:rsidRPr="009B79FB" w:rsidRDefault="00C03EC4" w:rsidP="00C03EC4">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66502" id="Text Box 2" o:spid="_x0000_s1027" type="#_x0000_t202" style="position:absolute;left:0;text-align:left;margin-left:-.45pt;margin-top:44.75pt;width:486.3pt;height:516.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" fillcolor="#d9e2f3 [660]" stroked="f" strokeweight=".5pt">
                <v:textbox>
                  <w:txbxContent>
                    <w:p w14:paraId="5741126D" w14:textId="77777777" w:rsidR="00C03EC4" w:rsidRPr="002E75D4" w:rsidRDefault="00C03EC4" w:rsidP="00C03EC4">
                      <w:pPr>
                        <w:autoSpaceDE w:val="0"/>
                        <w:autoSpaceDN w:val="0"/>
                        <w:adjustRightInd w:val="0"/>
                        <w:spacing w:before="240" w:after="120" w:line="240" w:lineRule="auto"/>
                        <w:jc w:val="both"/>
                        <w:rPr>
                          <w:rFonts w:asciiTheme="majorHAnsi" w:hAnsiTheme="majorHAnsi" w:cstheme="majorHAnsi"/>
                          <w:b/>
                          <w:sz w:val="24"/>
                          <w:szCs w:val="24"/>
                        </w:rPr>
                      </w:pPr>
                      <w:r w:rsidRPr="002E75D4">
                        <w:rPr>
                          <w:rFonts w:cstheme="minorHAnsi"/>
                          <w:b/>
                          <w:sz w:val="24"/>
                          <w:szCs w:val="24"/>
                        </w:rPr>
                        <w:t>Encadré 1 </w:t>
                      </w:r>
                      <w:r w:rsidRPr="002E75D4">
                        <w:rPr>
                          <w:rFonts w:cstheme="minorHAnsi"/>
                          <w:b/>
                          <w:sz w:val="24"/>
                          <w:szCs w:val="24"/>
                          <w:lang w:val="fr-ML"/>
                        </w:rPr>
                        <w:t>:</w:t>
                      </w:r>
                      <w:r w:rsidRPr="002E75D4">
                        <w:rPr>
                          <w:rFonts w:asciiTheme="majorHAnsi" w:hAnsiTheme="majorHAnsi" w:cstheme="majorHAnsi"/>
                          <w:b/>
                          <w:sz w:val="24"/>
                          <w:szCs w:val="24"/>
                          <w:lang w:val="fr-ML"/>
                        </w:rPr>
                        <w:t xml:space="preserve"> Vue d'ensemble des lignes directrices</w:t>
                      </w:r>
                      <w:r w:rsidRPr="002E75D4">
                        <w:rPr>
                          <w:rFonts w:asciiTheme="majorHAnsi" w:hAnsiTheme="majorHAnsi" w:cstheme="majorHAnsi"/>
                          <w:b/>
                          <w:sz w:val="24"/>
                          <w:szCs w:val="24"/>
                        </w:rPr>
                        <w:t xml:space="preserve"> du GIEC </w:t>
                      </w:r>
                    </w:p>
                    <w:p w14:paraId="766CBDDB" w14:textId="77777777" w:rsidR="00C03EC4" w:rsidRDefault="00C03EC4" w:rsidP="00C03EC4">
                      <w:pPr>
                        <w:jc w:val="both"/>
                        <w:rPr>
                          <w:rFonts w:cstheme="minorHAnsi"/>
                          <w:b/>
                          <w:sz w:val="24"/>
                          <w:szCs w:val="24"/>
                        </w:rPr>
                      </w:pPr>
                      <w:r w:rsidRPr="002E75D4">
                        <w:rPr>
                          <w:rFonts w:asciiTheme="majorHAnsi" w:hAnsiTheme="majorHAnsi" w:cstheme="majorHAnsi"/>
                          <w:sz w:val="24"/>
                          <w:szCs w:val="24"/>
                        </w:rPr>
                        <w:t>L’élaboration des prévisions et du choix des données se sont faits au cours de réunions de concertation. Elles ont lieu au niveau sectoriel pour les quatre secteurs principaux d’émissions</w:t>
                      </w:r>
                      <w:r>
                        <w:rPr>
                          <w:rFonts w:asciiTheme="majorHAnsi" w:hAnsiTheme="majorHAnsi" w:cstheme="majorHAnsi"/>
                          <w:sz w:val="24"/>
                          <w:szCs w:val="24"/>
                        </w:rPr>
                        <w:t xml:space="preserve"> de</w:t>
                      </w:r>
                    </w:p>
                    <w:p w14:paraId="44BC67BB" w14:textId="77777777" w:rsidR="00C03EC4" w:rsidRPr="00821BD9" w:rsidRDefault="00C03EC4" w:rsidP="00C03EC4">
                      <w:pPr>
                        <w:jc w:val="both"/>
                        <w:rPr>
                          <w:rFonts w:cstheme="minorHAnsi"/>
                          <w:b/>
                          <w:sz w:val="24"/>
                          <w:szCs w:val="24"/>
                        </w:rPr>
                      </w:pPr>
                      <w:r w:rsidRPr="00821BD9">
                        <w:rPr>
                          <w:rFonts w:cstheme="minorHAnsi"/>
                          <w:b/>
                          <w:sz w:val="24"/>
                          <w:szCs w:val="24"/>
                        </w:rPr>
                        <w:t>Lignes directrices du GIEC pour les inventaires nationaux de gaz à effet de serre</w:t>
                      </w:r>
                    </w:p>
                    <w:p w14:paraId="0AE43D70" w14:textId="77777777" w:rsidR="00C03EC4" w:rsidRPr="00821BD9" w:rsidRDefault="00C03EC4" w:rsidP="00C03EC4">
                      <w:pPr>
                        <w:jc w:val="both"/>
                        <w:rPr>
                          <w:rFonts w:asciiTheme="majorHAnsi" w:hAnsiTheme="majorHAnsi" w:cstheme="majorHAnsi"/>
                          <w:sz w:val="24"/>
                          <w:szCs w:val="24"/>
                        </w:rPr>
                      </w:pPr>
                      <w:r w:rsidRPr="00821BD9">
                        <w:rPr>
                          <w:rFonts w:asciiTheme="majorHAnsi" w:hAnsiTheme="majorHAnsi" w:cstheme="majorHAnsi"/>
                          <w:sz w:val="24"/>
                          <w:szCs w:val="24"/>
                        </w:rPr>
                        <w:t>Les Lignes directrices du GIEC pour les inventaires nationaux de gaz à effet de serre sont un ensemble de guides qui rassemblent des méthodes et des données par défaut pouvant être utilisées pour quantifier les émissions de tous les principaux secteurs sources. L'objectif des Lignes directrices du GIEC est de fournir un ensemble commun de méthodologies et un cadre de déclaration des émissions de GES afin de faciliter la transparence dans la quantification et la comptabilisation des émissions de GES entre les pays. Les Lignes directrices 2006 du GIEC (c'est-à-dire publiées en 2006) constituent l'ensemble le plus complet de lignes directrices. En 2019, un " raffinement " des Lignes directrices 2006 du GIEC a été publié ; il comprend des méthodologies mises à jour et des données par défaut actualisées dans certains secteurs, qui, pour les secteurs mis à jour, remplacent les Lignes directrices 2006 du GIEC.</w:t>
                      </w:r>
                    </w:p>
                    <w:p w14:paraId="7115B69E" w14:textId="77777777" w:rsidR="00C03EC4" w:rsidRPr="00821BD9" w:rsidRDefault="00C03EC4" w:rsidP="00C03EC4">
                      <w:pPr>
                        <w:jc w:val="both"/>
                        <w:rPr>
                          <w:rFonts w:asciiTheme="majorHAnsi" w:hAnsiTheme="majorHAnsi" w:cstheme="majorHAnsi"/>
                          <w:sz w:val="24"/>
                          <w:szCs w:val="24"/>
                        </w:rPr>
                      </w:pPr>
                      <w:r w:rsidRPr="00821BD9">
                        <w:rPr>
                          <w:rFonts w:asciiTheme="majorHAnsi" w:hAnsiTheme="majorHAnsi" w:cstheme="majorHAnsi"/>
                          <w:sz w:val="24"/>
                          <w:szCs w:val="24"/>
                        </w:rPr>
                        <w:t xml:space="preserve">Les Lignes directrices du GIEC visent à être applicables à l'échelle mondiale, c'est-à-dire de la même manière dans les pays disposant d'importantes ressources en données et dans ceux où les données sont limitées. En tant que telles, différentes méthodologies de complexité variable sont incluses dans les Lignes directrices pour tenir compte de la disponibilité des données dans les différents pays. Les méthodologies sont classées en 3 </w:t>
                      </w:r>
                      <w:r w:rsidRPr="00821BD9">
                        <w:rPr>
                          <w:rFonts w:asciiTheme="majorHAnsi" w:hAnsiTheme="majorHAnsi" w:cstheme="majorHAnsi"/>
                          <w:i/>
                          <w:sz w:val="24"/>
                          <w:szCs w:val="24"/>
                        </w:rPr>
                        <w:t xml:space="preserve">niveaux </w:t>
                      </w:r>
                      <w:r w:rsidRPr="00821BD9">
                        <w:rPr>
                          <w:rFonts w:asciiTheme="majorHAnsi" w:hAnsiTheme="majorHAnsi" w:cstheme="majorHAnsi"/>
                          <w:sz w:val="24"/>
                          <w:szCs w:val="24"/>
                        </w:rPr>
                        <w:t xml:space="preserve">qui reflètent les méthodes de complexité croissante et les exigences en matière de données. </w:t>
                      </w:r>
                    </w:p>
                    <w:p w14:paraId="690BCFCB" w14:textId="77777777" w:rsidR="00C03EC4" w:rsidRPr="009B79FB" w:rsidRDefault="00C03EC4" w:rsidP="00C03EC4">
                      <w:pPr>
                        <w:jc w:val="both"/>
                        <w:rPr>
                          <w:rFonts w:ascii="Times New Roman" w:hAnsi="Times New Roman"/>
                        </w:rPr>
                      </w:pPr>
                      <w:r w:rsidRPr="00821BD9">
                        <w:rPr>
                          <w:rFonts w:asciiTheme="majorHAnsi" w:hAnsiTheme="majorHAnsi" w:cstheme="majorHAnsi"/>
                          <w:sz w:val="24"/>
                          <w:szCs w:val="24"/>
                        </w:rPr>
                        <w:t xml:space="preserve">Les méthodologies de </w:t>
                      </w:r>
                      <w:r w:rsidRPr="00821BD9">
                        <w:rPr>
                          <w:rFonts w:asciiTheme="majorHAnsi" w:hAnsiTheme="majorHAnsi" w:cstheme="majorHAnsi"/>
                          <w:b/>
                          <w:sz w:val="24"/>
                          <w:szCs w:val="24"/>
                        </w:rPr>
                        <w:t xml:space="preserve">niveau 1 </w:t>
                      </w:r>
                      <w:r w:rsidRPr="00821BD9">
                        <w:rPr>
                          <w:rFonts w:asciiTheme="majorHAnsi" w:hAnsiTheme="majorHAnsi" w:cstheme="majorHAnsi"/>
                          <w:sz w:val="24"/>
                          <w:szCs w:val="24"/>
                        </w:rPr>
                        <w:t xml:space="preserve">sont les plus simples, et peuvent être appliquées avec un minimum de données, et souvent des données par défaut sont fournies pour être utilisées lorsqu'il n'existe pas de données pour ces secteurs. Les méthodologies de </w:t>
                      </w:r>
                      <w:r w:rsidRPr="00821BD9">
                        <w:rPr>
                          <w:rFonts w:asciiTheme="majorHAnsi" w:hAnsiTheme="majorHAnsi" w:cstheme="majorHAnsi"/>
                          <w:b/>
                          <w:sz w:val="24"/>
                          <w:szCs w:val="24"/>
                        </w:rPr>
                        <w:t xml:space="preserve">niveau 2 </w:t>
                      </w:r>
                      <w:r w:rsidRPr="00821BD9">
                        <w:rPr>
                          <w:rFonts w:asciiTheme="majorHAnsi" w:hAnsiTheme="majorHAnsi" w:cstheme="majorHAnsi"/>
                          <w:sz w:val="24"/>
                          <w:szCs w:val="24"/>
                        </w:rPr>
                        <w:t xml:space="preserve">sont plus complexes et requièrent davantage de données spécifiques au niveau national que celles requises pour le niveau 1. Enfin, les méthodes de </w:t>
                      </w:r>
                      <w:r w:rsidRPr="00821BD9">
                        <w:rPr>
                          <w:rFonts w:asciiTheme="majorHAnsi" w:hAnsiTheme="majorHAnsi" w:cstheme="majorHAnsi"/>
                          <w:b/>
                          <w:sz w:val="24"/>
                          <w:szCs w:val="24"/>
                        </w:rPr>
                        <w:t xml:space="preserve">niveau 3 </w:t>
                      </w:r>
                      <w:r w:rsidRPr="00821BD9">
                        <w:rPr>
                          <w:rFonts w:asciiTheme="majorHAnsi" w:hAnsiTheme="majorHAnsi" w:cstheme="majorHAnsi"/>
                          <w:sz w:val="24"/>
                          <w:szCs w:val="24"/>
                        </w:rPr>
                        <w:t>so</w:t>
                      </w:r>
                      <w:r w:rsidRPr="00821BD9">
                        <w:rPr>
                          <w:rFonts w:asciiTheme="majorHAnsi" w:hAnsiTheme="majorHAnsi" w:cstheme="majorHAnsi"/>
                        </w:rPr>
                        <w:t>nt les plus complexes et nécessitent souvent une mesure directe des émissions à la source pour fournir des facteurs d'émission appropriés au niveau local.</w:t>
                      </w:r>
                      <w:r w:rsidRPr="00842111">
                        <w:rPr>
                          <w:rFonts w:asciiTheme="majorHAnsi" w:hAnsiTheme="majorHAnsi" w:cstheme="majorHAnsi"/>
                        </w:rPr>
                        <w:t xml:space="preserve"> </w:t>
                      </w:r>
                    </w:p>
                    <w:p w14:paraId="052F9D74" w14:textId="77777777" w:rsidR="00C03EC4" w:rsidRPr="009B79FB" w:rsidRDefault="00C03EC4" w:rsidP="00C03EC4">
                      <w:pPr>
                        <w:rPr>
                          <w:rFonts w:ascii="Times New Roman" w:hAnsi="Times New Roman"/>
                        </w:rPr>
                      </w:pPr>
                    </w:p>
                    <w:p w14:paraId="0EB8248A" w14:textId="77777777" w:rsidR="00C03EC4" w:rsidRPr="009B79FB" w:rsidRDefault="00C03EC4" w:rsidP="00C03EC4">
                      <w:pPr>
                        <w:rPr>
                          <w:rFonts w:ascii="Times New Roman" w:hAnsi="Times New Roman"/>
                        </w:rPr>
                      </w:pPr>
                    </w:p>
                    <w:p w14:paraId="495E7ADA" w14:textId="77777777" w:rsidR="00C03EC4" w:rsidRPr="009B79FB" w:rsidRDefault="00C03EC4" w:rsidP="00C03EC4">
                      <w:pPr>
                        <w:rPr>
                          <w:rFonts w:ascii="Times New Roman" w:hAnsi="Times New Roman"/>
                        </w:rPr>
                      </w:pPr>
                    </w:p>
                    <w:p w14:paraId="489BEA4A" w14:textId="77777777" w:rsidR="00C03EC4" w:rsidRPr="009B79FB" w:rsidRDefault="00C03EC4" w:rsidP="00C03EC4">
                      <w:pPr>
                        <w:rPr>
                          <w:rFonts w:ascii="Times New Roman" w:hAnsi="Times New Roman"/>
                        </w:rPr>
                      </w:pPr>
                    </w:p>
                    <w:p w14:paraId="207804B5" w14:textId="77777777" w:rsidR="00C03EC4" w:rsidRPr="009B79FB" w:rsidRDefault="00C03EC4" w:rsidP="00C03EC4">
                      <w:pPr>
                        <w:rPr>
                          <w:rFonts w:ascii="Times New Roman" w:hAnsi="Times New Roman"/>
                        </w:rPr>
                      </w:pPr>
                    </w:p>
                    <w:p w14:paraId="375955D7" w14:textId="77777777" w:rsidR="00C03EC4" w:rsidRPr="009B79FB" w:rsidRDefault="00C03EC4" w:rsidP="00C03EC4">
                      <w:pPr>
                        <w:rPr>
                          <w:rFonts w:ascii="Times New Roman" w:hAnsi="Times New Roman"/>
                        </w:rPr>
                      </w:pPr>
                    </w:p>
                    <w:p w14:paraId="793EFAE2" w14:textId="77777777" w:rsidR="00C03EC4" w:rsidRPr="009B79FB" w:rsidRDefault="00C03EC4" w:rsidP="00C03EC4">
                      <w:pPr>
                        <w:rPr>
                          <w:rFonts w:ascii="Times New Roman" w:hAnsi="Times New Roman"/>
                        </w:rPr>
                      </w:pPr>
                    </w:p>
                  </w:txbxContent>
                </v:textbox>
                <w10:wrap type="square" anchorx="margin"/>
              </v:shape>
            </w:pict>
          </mc:Fallback>
        </mc:AlternateContent>
      </w:r>
      <w:r w:rsidRPr="002E75D4">
        <w:rPr>
          <w:rFonts w:asciiTheme="majorHAnsi" w:hAnsiTheme="majorHAnsi" w:cstheme="majorHAnsi"/>
          <w:sz w:val="24"/>
          <w:szCs w:val="24"/>
        </w:rPr>
        <w:t xml:space="preserve">Les inventaires des émissions de GES ont été réalisés suivant les lignes directrices du GIEC version 2006 du GIEC et l’outil LEAP. </w:t>
      </w:r>
    </w:p>
    <w:p w14:paraId="2B18A7EE" w14:textId="77777777" w:rsidR="00C03EC4" w:rsidRPr="002E75D4" w:rsidRDefault="00C03EC4" w:rsidP="00C03EC4">
      <w:pPr>
        <w:autoSpaceDE w:val="0"/>
        <w:autoSpaceDN w:val="0"/>
        <w:adjustRightInd w:val="0"/>
        <w:spacing w:before="240" w:after="120"/>
        <w:jc w:val="both"/>
        <w:rPr>
          <w:rFonts w:asciiTheme="majorHAnsi" w:hAnsiTheme="majorHAnsi" w:cstheme="majorHAnsi"/>
          <w:sz w:val="24"/>
          <w:szCs w:val="24"/>
        </w:rPr>
      </w:pPr>
      <w:r w:rsidRPr="002E75D4">
        <w:rPr>
          <w:rFonts w:asciiTheme="majorHAnsi" w:hAnsiTheme="majorHAnsi" w:cstheme="majorHAnsi"/>
          <w:sz w:val="24"/>
          <w:szCs w:val="24"/>
        </w:rPr>
        <w:t>A cet effet, l’outil informatique a été utilisé à travers les feuilles de calcul</w:t>
      </w:r>
      <w:r>
        <w:rPr>
          <w:rFonts w:asciiTheme="majorHAnsi" w:hAnsiTheme="majorHAnsi" w:cstheme="majorHAnsi"/>
          <w:sz w:val="24"/>
          <w:szCs w:val="24"/>
        </w:rPr>
        <w:t xml:space="preserve"> </w:t>
      </w:r>
      <w:r w:rsidRPr="002E75D4">
        <w:rPr>
          <w:rFonts w:asciiTheme="majorHAnsi" w:hAnsiTheme="majorHAnsi" w:cstheme="majorHAnsi"/>
          <w:sz w:val="24"/>
          <w:szCs w:val="24"/>
        </w:rPr>
        <w:t>gaz à effet de serre (agriculture, foresterie et changement d’affectation des terres, énergie, déchets).</w:t>
      </w:r>
    </w:p>
    <w:p w14:paraId="6BEF1872" w14:textId="77777777" w:rsidR="00C03EC4" w:rsidRPr="002E75D4" w:rsidRDefault="00C03EC4" w:rsidP="00C03EC4">
      <w:pPr>
        <w:autoSpaceDE w:val="0"/>
        <w:autoSpaceDN w:val="0"/>
        <w:adjustRightInd w:val="0"/>
        <w:spacing w:after="120"/>
        <w:jc w:val="both"/>
        <w:rPr>
          <w:rFonts w:asciiTheme="majorHAnsi" w:hAnsiTheme="majorHAnsi" w:cstheme="majorHAnsi"/>
          <w:sz w:val="24"/>
          <w:szCs w:val="24"/>
        </w:rPr>
      </w:pPr>
      <w:r w:rsidRPr="002E75D4">
        <w:rPr>
          <w:rFonts w:asciiTheme="majorHAnsi" w:hAnsiTheme="majorHAnsi" w:cstheme="majorHAnsi"/>
          <w:sz w:val="24"/>
          <w:szCs w:val="24"/>
        </w:rPr>
        <w:t>Ces concertations ont permis de :</w:t>
      </w:r>
    </w:p>
    <w:p w14:paraId="4E89B617" w14:textId="77777777" w:rsidR="00C03EC4" w:rsidRPr="002E75D4" w:rsidRDefault="00C03EC4" w:rsidP="00C03EC4">
      <w:pPr>
        <w:pStyle w:val="Paragraphedeliste"/>
        <w:widowControl w:val="0"/>
        <w:numPr>
          <w:ilvl w:val="0"/>
          <w:numId w:val="28"/>
        </w:numPr>
        <w:autoSpaceDE w:val="0"/>
        <w:autoSpaceDN w:val="0"/>
        <w:adjustRightInd w:val="0"/>
        <w:spacing w:after="120"/>
        <w:ind w:left="709"/>
        <w:contextualSpacing w:val="0"/>
        <w:jc w:val="both"/>
        <w:rPr>
          <w:rFonts w:asciiTheme="majorHAnsi" w:hAnsiTheme="majorHAnsi" w:cstheme="majorHAnsi"/>
          <w:sz w:val="24"/>
          <w:szCs w:val="24"/>
        </w:rPr>
      </w:pPr>
      <w:r w:rsidRPr="002E75D4">
        <w:rPr>
          <w:rFonts w:asciiTheme="majorHAnsi" w:hAnsiTheme="majorHAnsi" w:cstheme="majorHAnsi"/>
          <w:sz w:val="24"/>
          <w:szCs w:val="24"/>
        </w:rPr>
        <w:t>Identifier et d’exploiter les programmations nationales et les orientations prospectives du Mali qui ont servi de base à l’élaboration de la CDN ;</w:t>
      </w:r>
    </w:p>
    <w:p w14:paraId="141B60C2" w14:textId="77777777" w:rsidR="00C03EC4" w:rsidRPr="002E75D4" w:rsidRDefault="00C03EC4" w:rsidP="00C03EC4">
      <w:pPr>
        <w:pStyle w:val="Paragraphedeliste"/>
        <w:widowControl w:val="0"/>
        <w:numPr>
          <w:ilvl w:val="0"/>
          <w:numId w:val="28"/>
        </w:numPr>
        <w:autoSpaceDE w:val="0"/>
        <w:autoSpaceDN w:val="0"/>
        <w:adjustRightInd w:val="0"/>
        <w:spacing w:after="120"/>
        <w:ind w:left="709"/>
        <w:contextualSpacing w:val="0"/>
        <w:jc w:val="both"/>
        <w:rPr>
          <w:rFonts w:asciiTheme="majorHAnsi" w:hAnsiTheme="majorHAnsi" w:cstheme="majorHAnsi"/>
          <w:sz w:val="24"/>
          <w:szCs w:val="24"/>
        </w:rPr>
      </w:pPr>
      <w:r w:rsidRPr="002E75D4">
        <w:rPr>
          <w:rFonts w:asciiTheme="majorHAnsi" w:hAnsiTheme="majorHAnsi" w:cstheme="majorHAnsi"/>
          <w:sz w:val="24"/>
          <w:szCs w:val="24"/>
        </w:rPr>
        <w:t xml:space="preserve">Valider les données techniques recueillies par l’équipe du BUR pour la période 2015–2019 ; </w:t>
      </w:r>
    </w:p>
    <w:p w14:paraId="795BA221" w14:textId="77777777" w:rsidR="00C03EC4" w:rsidRPr="002E75D4" w:rsidRDefault="00C03EC4" w:rsidP="00C03EC4">
      <w:pPr>
        <w:pStyle w:val="Paragraphedeliste"/>
        <w:widowControl w:val="0"/>
        <w:numPr>
          <w:ilvl w:val="0"/>
          <w:numId w:val="28"/>
        </w:numPr>
        <w:autoSpaceDE w:val="0"/>
        <w:autoSpaceDN w:val="0"/>
        <w:adjustRightInd w:val="0"/>
        <w:spacing w:after="120"/>
        <w:ind w:left="709"/>
        <w:contextualSpacing w:val="0"/>
        <w:jc w:val="both"/>
        <w:rPr>
          <w:rFonts w:asciiTheme="majorHAnsi" w:hAnsiTheme="majorHAnsi" w:cstheme="majorHAnsi"/>
          <w:sz w:val="24"/>
          <w:szCs w:val="24"/>
        </w:rPr>
      </w:pPr>
      <w:r w:rsidRPr="002E75D4">
        <w:rPr>
          <w:rFonts w:asciiTheme="majorHAnsi" w:hAnsiTheme="majorHAnsi" w:cstheme="majorHAnsi"/>
          <w:sz w:val="24"/>
          <w:szCs w:val="24"/>
        </w:rPr>
        <w:t>Déterminer les programmes et les valeurs des données de base pour les années 2020-2030 dans les différents secteurs pour le scénario de base et pour le scénario d’atténuation.</w:t>
      </w:r>
    </w:p>
    <w:p w14:paraId="4B67B9E8" w14:textId="77777777" w:rsidR="00C03EC4" w:rsidRPr="00A021BD" w:rsidRDefault="00C03EC4" w:rsidP="00C03EC4">
      <w:pPr>
        <w:pStyle w:val="Body2"/>
        <w:spacing w:before="120" w:after="0" w:line="276" w:lineRule="auto"/>
        <w:ind w:left="0"/>
        <w:rPr>
          <w:rFonts w:asciiTheme="majorHAnsi" w:hAnsiTheme="majorHAnsi" w:cstheme="majorHAnsi"/>
          <w:bCs/>
          <w:sz w:val="24"/>
          <w:szCs w:val="24"/>
        </w:rPr>
      </w:pPr>
      <w:r w:rsidRPr="00A021BD">
        <w:rPr>
          <w:rFonts w:asciiTheme="majorHAnsi" w:hAnsiTheme="majorHAnsi" w:cstheme="majorHAnsi"/>
          <w:bCs/>
          <w:sz w:val="24"/>
          <w:szCs w:val="24"/>
        </w:rPr>
        <w:t>Les calculs de GES dans la CDN ont été effectués par secteur puis agrégés sur deux périodes :</w:t>
      </w:r>
    </w:p>
    <w:p w14:paraId="6553E51A" w14:textId="77777777" w:rsidR="00C03EC4" w:rsidRPr="002E75D4" w:rsidRDefault="00C03EC4" w:rsidP="00C03EC4">
      <w:pPr>
        <w:pStyle w:val="Body2"/>
        <w:numPr>
          <w:ilvl w:val="0"/>
          <w:numId w:val="28"/>
        </w:numPr>
        <w:spacing w:before="120" w:after="0" w:line="276" w:lineRule="auto"/>
        <w:rPr>
          <w:rFonts w:asciiTheme="majorHAnsi" w:hAnsiTheme="majorHAnsi" w:cstheme="majorHAnsi"/>
          <w:sz w:val="24"/>
          <w:szCs w:val="24"/>
        </w:rPr>
      </w:pPr>
      <w:r w:rsidRPr="002E75D4">
        <w:rPr>
          <w:rFonts w:asciiTheme="majorHAnsi" w:hAnsiTheme="majorHAnsi" w:cstheme="majorHAnsi"/>
          <w:sz w:val="24"/>
          <w:szCs w:val="24"/>
        </w:rPr>
        <w:t>La première période est celle des années 2015–2019 pour laquelle les valeurs des émissions de GES sont issues de calculs effectués lors de l’élaboration du premier rapport biennal du Mali (BUR), à partir de données réelles fournies par les services techniques. Cette période est la période de référence de la CDN révisée ;</w:t>
      </w:r>
    </w:p>
    <w:p w14:paraId="5E88FEE5" w14:textId="77777777" w:rsidR="00C03EC4" w:rsidRPr="002E75D4" w:rsidRDefault="00C03EC4" w:rsidP="00C03EC4">
      <w:pPr>
        <w:pStyle w:val="Body2"/>
        <w:numPr>
          <w:ilvl w:val="0"/>
          <w:numId w:val="17"/>
        </w:numPr>
        <w:spacing w:before="120" w:after="0" w:line="276" w:lineRule="auto"/>
        <w:rPr>
          <w:rFonts w:asciiTheme="majorHAnsi" w:hAnsiTheme="majorHAnsi" w:cstheme="majorHAnsi"/>
          <w:sz w:val="24"/>
          <w:szCs w:val="24"/>
        </w:rPr>
      </w:pPr>
      <w:r w:rsidRPr="002E75D4">
        <w:rPr>
          <w:rFonts w:asciiTheme="majorHAnsi" w:hAnsiTheme="majorHAnsi" w:cstheme="majorHAnsi"/>
          <w:sz w:val="24"/>
          <w:szCs w:val="24"/>
        </w:rPr>
        <w:t>La seconde période concerne 2020–2030 et fournit deux scénarios prévisionnels :</w:t>
      </w:r>
    </w:p>
    <w:p w14:paraId="48A778F9" w14:textId="77777777" w:rsidR="00C03EC4" w:rsidRPr="002E75D4" w:rsidRDefault="00C03EC4" w:rsidP="00C03EC4">
      <w:pPr>
        <w:pStyle w:val="Body2"/>
        <w:numPr>
          <w:ilvl w:val="0"/>
          <w:numId w:val="65"/>
        </w:numPr>
        <w:spacing w:before="120" w:after="0" w:line="276" w:lineRule="auto"/>
        <w:ind w:left="1134"/>
        <w:rPr>
          <w:rFonts w:asciiTheme="majorHAnsi" w:hAnsiTheme="majorHAnsi" w:cstheme="majorHAnsi"/>
          <w:sz w:val="24"/>
          <w:szCs w:val="24"/>
        </w:rPr>
      </w:pPr>
      <w:r w:rsidRPr="002E75D4">
        <w:rPr>
          <w:rFonts w:asciiTheme="majorHAnsi" w:hAnsiTheme="majorHAnsi" w:cstheme="majorHAnsi"/>
          <w:sz w:val="24"/>
          <w:szCs w:val="24"/>
        </w:rPr>
        <w:t>Le scénario de base qui résulte de prévisions reflétant la tendance normale du développement du Mali (scénario Business-As-Usual). Ce scénario a été élaboré en fonction des politiques nationales et des concertations sectorielles :</w:t>
      </w:r>
    </w:p>
    <w:p w14:paraId="5BD8C3DE" w14:textId="77777777" w:rsidR="00C03EC4" w:rsidRPr="002E75D4" w:rsidRDefault="00C03EC4" w:rsidP="00C03EC4">
      <w:pPr>
        <w:pStyle w:val="Body2"/>
        <w:numPr>
          <w:ilvl w:val="0"/>
          <w:numId w:val="66"/>
        </w:numPr>
        <w:spacing w:before="120" w:after="0" w:line="276" w:lineRule="auto"/>
        <w:ind w:left="1134"/>
        <w:rPr>
          <w:rFonts w:asciiTheme="majorHAnsi" w:hAnsiTheme="majorHAnsi" w:cstheme="majorHAnsi"/>
          <w:sz w:val="24"/>
          <w:szCs w:val="24"/>
        </w:rPr>
      </w:pPr>
      <w:r w:rsidRPr="002E75D4">
        <w:rPr>
          <w:rFonts w:asciiTheme="majorHAnsi" w:hAnsiTheme="majorHAnsi" w:cstheme="majorHAnsi"/>
          <w:sz w:val="24"/>
          <w:szCs w:val="24"/>
        </w:rPr>
        <w:t xml:space="preserve"> </w:t>
      </w:r>
      <w:r w:rsidRPr="002E75D4">
        <w:rPr>
          <w:rFonts w:asciiTheme="majorHAnsi" w:eastAsia="MS PGothic" w:hAnsiTheme="majorHAnsi" w:cstheme="majorHAnsi"/>
          <w:sz w:val="24"/>
          <w:szCs w:val="24"/>
        </w:rPr>
        <w:t>Le scénario d’atténuation est un scénario plus ambitieux et volontariste afin de réduire les émissions de GES au cours de la période 2020–2030. Il a été élaboré</w:t>
      </w:r>
      <w:r w:rsidRPr="002E75D4">
        <w:rPr>
          <w:rFonts w:asciiTheme="majorHAnsi" w:hAnsiTheme="majorHAnsi" w:cstheme="majorHAnsi"/>
          <w:sz w:val="24"/>
          <w:szCs w:val="24"/>
        </w:rPr>
        <w:t xml:space="preserve"> par </w:t>
      </w:r>
      <w:r w:rsidRPr="002E75D4">
        <w:rPr>
          <w:rFonts w:asciiTheme="majorHAnsi" w:eastAsia="MS PGothic" w:hAnsiTheme="majorHAnsi" w:cstheme="majorHAnsi"/>
          <w:sz w:val="24"/>
          <w:szCs w:val="24"/>
        </w:rPr>
        <w:t xml:space="preserve">le Mali </w:t>
      </w:r>
      <w:r w:rsidRPr="002E75D4">
        <w:rPr>
          <w:rFonts w:asciiTheme="majorHAnsi" w:hAnsiTheme="majorHAnsi" w:cstheme="majorHAnsi"/>
          <w:sz w:val="24"/>
          <w:szCs w:val="24"/>
        </w:rPr>
        <w:t xml:space="preserve">afin de participer à l’ambition collective d’atteindre </w:t>
      </w:r>
      <w:r w:rsidRPr="002E75D4">
        <w:rPr>
          <w:rFonts w:asciiTheme="majorHAnsi" w:eastAsia="MS PGothic" w:hAnsiTheme="majorHAnsi" w:cstheme="majorHAnsi"/>
          <w:sz w:val="24"/>
          <w:szCs w:val="24"/>
        </w:rPr>
        <w:t xml:space="preserve">l’objectif ultime de la Convention (moins de 2°C). Ce scénario </w:t>
      </w:r>
      <w:r w:rsidRPr="002E75D4">
        <w:rPr>
          <w:rFonts w:asciiTheme="majorHAnsi" w:hAnsiTheme="majorHAnsi" w:cstheme="majorHAnsi"/>
          <w:sz w:val="24"/>
          <w:szCs w:val="24"/>
        </w:rPr>
        <w:t>est conditionné par la mise en œuvre de moyens humains, matériels et financiers par le Mali d’une part le scénario inconditionnel et d’autre part par ses partenaires bilatéraux et multilatéraux pour le scenario conditionnel.</w:t>
      </w:r>
    </w:p>
    <w:p w14:paraId="25DF0C91" w14:textId="77777777" w:rsidR="00C03EC4" w:rsidRPr="00EA7465" w:rsidRDefault="00C03EC4" w:rsidP="00C03EC4">
      <w:pPr>
        <w:jc w:val="both"/>
        <w:rPr>
          <w:sz w:val="24"/>
          <w:szCs w:val="24"/>
        </w:rPr>
      </w:pPr>
      <w:r w:rsidRPr="00EA7465">
        <w:rPr>
          <w:sz w:val="24"/>
          <w:szCs w:val="24"/>
        </w:rPr>
        <w:t>En plus des calculs techniques, le Gouvernement de la République du Mali a adopté une démarche participative pour non seulement impliquer les acteurs régionaux mais aussi la prise en compte de la dimension genre dans le processus de la révision et cela à travers des concertations régions et une analyse genre dans les secteurs de la CDN.</w:t>
      </w:r>
    </w:p>
    <w:p w14:paraId="78F1E63F" w14:textId="77777777" w:rsidR="00C03EC4" w:rsidRPr="00556BE5" w:rsidRDefault="00C03EC4" w:rsidP="00C03EC4">
      <w:pPr>
        <w:spacing w:line="240" w:lineRule="auto"/>
        <w:jc w:val="both"/>
        <w:rPr>
          <w:rFonts w:asciiTheme="majorHAnsi" w:hAnsiTheme="majorHAnsi" w:cstheme="majorHAnsi"/>
          <w:b/>
          <w:sz w:val="34"/>
          <w:szCs w:val="34"/>
        </w:rPr>
      </w:pPr>
      <w:r w:rsidRPr="00556BE5">
        <w:rPr>
          <w:rFonts w:asciiTheme="majorHAnsi" w:hAnsiTheme="majorHAnsi" w:cstheme="majorHAnsi"/>
          <w:b/>
          <w:sz w:val="34"/>
          <w:szCs w:val="34"/>
        </w:rPr>
        <w:t>2.2 CONCERTATIONS REGIONALES</w:t>
      </w:r>
    </w:p>
    <w:p w14:paraId="731AFB57" w14:textId="77777777" w:rsidR="00C03EC4" w:rsidRDefault="00C03EC4" w:rsidP="00C03EC4">
      <w:pPr>
        <w:tabs>
          <w:tab w:val="left" w:pos="1572"/>
        </w:tabs>
        <w:spacing w:line="240" w:lineRule="auto"/>
        <w:ind w:right="140"/>
        <w:jc w:val="both"/>
        <w:rPr>
          <w:rFonts w:asciiTheme="majorHAnsi" w:hAnsiTheme="majorHAnsi" w:cstheme="majorHAnsi"/>
          <w:sz w:val="24"/>
          <w:szCs w:val="24"/>
        </w:rPr>
      </w:pPr>
      <w:r w:rsidRPr="005F51BC">
        <w:rPr>
          <w:rFonts w:asciiTheme="majorHAnsi" w:hAnsiTheme="majorHAnsi" w:cstheme="majorHAnsi"/>
          <w:sz w:val="24"/>
          <w:szCs w:val="24"/>
        </w:rPr>
        <w:t>Au vu des fortes interactions</w:t>
      </w:r>
      <w:r w:rsidRPr="002E75D4">
        <w:rPr>
          <w:rFonts w:asciiTheme="majorHAnsi" w:hAnsiTheme="majorHAnsi" w:cstheme="majorHAnsi"/>
          <w:sz w:val="24"/>
          <w:szCs w:val="24"/>
        </w:rPr>
        <w:t xml:space="preserve"> entre acteurs, les territoires semblent pouvoir être une porte d’entrée importante pour traiter les questions de planification de développement dans leur globalité. C’est ainsi que le Gouvernement de la république du Mali a initié un certain nombre de réformes institutionnelles allant dans ce sens notamment, la loi déterminant les conditions de la libre administration du territoire, la loi portant code des collectivités territoriales. Un autre élément pour considérer le territoire comme entrée pertinente de la question climatique est la transversalité ainsi que les interactions des différentes politiques sectorielles (énergétique, agricole, forestière, transport et du cadre de vie).  Aujourd’hui, la décentralisation est effective avec la création et la mise en place des collectivités territoriales suivant la Loi no 95-034 du 12 avril 1995, attribuant aux communes la mission d’élaborer et de mettre en œuvre leur Programme de développement social, économique et culturel (PDSEC). Ce qui permet notamment de prédisposer les collectivités territoriales à bâtir la résilience des communautés locales. Malgré les outils de planification conçus à cet effet, nous assistons à une action timide de prise en compte du changement climatique dans les outils de planification locale alors que la réussite de la territorialisation de la CDN passe par l’appropriation des différents outils et mécanismes du changement climatique par les collectivités territoriales. </w:t>
      </w:r>
    </w:p>
    <w:p w14:paraId="6D292D91" w14:textId="77777777" w:rsidR="00C03EC4" w:rsidRPr="002E75D4" w:rsidRDefault="00C03EC4" w:rsidP="00C03EC4">
      <w:pPr>
        <w:tabs>
          <w:tab w:val="left" w:pos="1572"/>
        </w:tabs>
        <w:spacing w:line="240" w:lineRule="auto"/>
        <w:ind w:right="140"/>
        <w:jc w:val="both"/>
        <w:rPr>
          <w:rFonts w:asciiTheme="majorHAnsi" w:hAnsiTheme="majorHAnsi" w:cstheme="majorHAnsi"/>
          <w:sz w:val="24"/>
          <w:szCs w:val="24"/>
        </w:rPr>
      </w:pPr>
      <w:r w:rsidRPr="002E75D4">
        <w:rPr>
          <w:rFonts w:asciiTheme="majorHAnsi" w:hAnsiTheme="majorHAnsi" w:cstheme="majorHAnsi"/>
          <w:sz w:val="24"/>
          <w:szCs w:val="24"/>
        </w:rPr>
        <w:t>Il faudra donc accorder une place de choix aux acteurs locaux dans le processus de mise à jour de la CDN afin d’obtenir un outil efficace et inclusif de lutte contre les aléas climatiques qui cadre parfaitement avec l’ambition du Mali d’aller vers la régionalisation.</w:t>
      </w:r>
    </w:p>
    <w:p w14:paraId="5FC60258" w14:textId="77777777" w:rsidR="00C03EC4" w:rsidRPr="002E75D4" w:rsidRDefault="00C03EC4" w:rsidP="00C03EC4">
      <w:pPr>
        <w:tabs>
          <w:tab w:val="left" w:pos="1572"/>
        </w:tabs>
        <w:spacing w:line="240" w:lineRule="auto"/>
        <w:ind w:right="140"/>
        <w:jc w:val="both"/>
        <w:rPr>
          <w:rFonts w:asciiTheme="majorHAnsi" w:hAnsiTheme="majorHAnsi" w:cstheme="majorHAnsi"/>
          <w:sz w:val="24"/>
          <w:szCs w:val="24"/>
        </w:rPr>
      </w:pPr>
      <w:r w:rsidRPr="002E75D4">
        <w:rPr>
          <w:rFonts w:asciiTheme="majorHAnsi" w:hAnsiTheme="majorHAnsi" w:cstheme="majorHAnsi"/>
          <w:sz w:val="24"/>
          <w:szCs w:val="24"/>
        </w:rPr>
        <w:t xml:space="preserve"> Cette révision qui s’inscrivait dans une démarche participative et inclusive de toutes les parties prenantes s’est appuyé donc sur une approche territoriale à travers des concertations régionales, dont l’objectif est la prise en compte des spécificités régionales dans la nouvelle CDN. Cette innovation est partie du constat que la CDN de 2015 n’avait pas impliqué les acteurs régionaux et locaux sur la définition des projets contribuant l’atteinte de ces objectifs de réduction des émissions et d’adaptation. La mise en œuvre de la CDN au niveau régional offre l’opportunité pour ces acteurs de faire des propositions des politiques climatiques locales à partir des spécificités régionales et des défis qui sont propres à chaque région. Cela relève une nécessité de discuter au niveau national, quelle approche de planification de développement faut-il choisir dans un contexte de lutte contre le changement climatique et de promotion du développement durable ? A termes, il s’agit pour le Mali d’intégrer la résilience dans les plans de développement régionaux et locaux par une planification et une budgétisation. </w:t>
      </w:r>
    </w:p>
    <w:p w14:paraId="4A54CEBF" w14:textId="77777777" w:rsidR="00C03EC4" w:rsidRPr="002E75D4" w:rsidRDefault="00C03EC4" w:rsidP="00C03EC4">
      <w:pPr>
        <w:tabs>
          <w:tab w:val="left" w:pos="1572"/>
        </w:tabs>
        <w:spacing w:line="240" w:lineRule="auto"/>
        <w:ind w:right="140"/>
        <w:jc w:val="both"/>
        <w:rPr>
          <w:rFonts w:asciiTheme="majorHAnsi" w:hAnsiTheme="majorHAnsi" w:cstheme="majorHAnsi"/>
          <w:sz w:val="24"/>
          <w:szCs w:val="24"/>
        </w:rPr>
      </w:pPr>
      <w:r w:rsidRPr="002E75D4">
        <w:rPr>
          <w:rFonts w:asciiTheme="majorHAnsi" w:hAnsiTheme="majorHAnsi" w:cstheme="majorHAnsi"/>
          <w:sz w:val="24"/>
          <w:szCs w:val="24"/>
        </w:rPr>
        <w:t xml:space="preserve">La tenue des concertations régionales, une approche innovante pour la révision des CDN </w:t>
      </w:r>
    </w:p>
    <w:p w14:paraId="328C5AFE" w14:textId="77777777" w:rsidR="00C03EC4" w:rsidRPr="002E75D4" w:rsidRDefault="00C03EC4" w:rsidP="00C03EC4">
      <w:pPr>
        <w:tabs>
          <w:tab w:val="left" w:pos="1572"/>
        </w:tabs>
        <w:spacing w:line="240" w:lineRule="auto"/>
        <w:ind w:right="140"/>
        <w:jc w:val="both"/>
        <w:rPr>
          <w:rFonts w:asciiTheme="majorHAnsi" w:hAnsiTheme="majorHAnsi" w:cstheme="majorHAnsi"/>
          <w:sz w:val="24"/>
          <w:szCs w:val="24"/>
        </w:rPr>
      </w:pPr>
      <w:r w:rsidRPr="002E75D4">
        <w:rPr>
          <w:rFonts w:asciiTheme="majorHAnsi" w:hAnsiTheme="majorHAnsi" w:cstheme="majorHAnsi"/>
          <w:sz w:val="24"/>
          <w:szCs w:val="24"/>
        </w:rPr>
        <w:t>En collaboration avec les acteurs régionaux et le partenaire technique et financier (PNUD), l’Agence de l’Environnement et du Développement Durable (AEDD) a organisé les concertations régionales dans le cadre du processus de la révision de la CDN. Ces concertations ont eu lieu dans cinq régions et le District de Bamako. Ce fut des espaces d’échanges et de discussions sur le niveau de vulnérabilité de ces régions face au changement climatique. Des discussions ont été engagées sur quels type de stratégie d’atténuation et d’adaptation, ces acteurs régionaux peuvent-ils mettre en place.</w:t>
      </w:r>
    </w:p>
    <w:p w14:paraId="4D8B8170" w14:textId="77777777" w:rsidR="00C03EC4" w:rsidRPr="002E75D4" w:rsidRDefault="00C03EC4" w:rsidP="00C03EC4">
      <w:pPr>
        <w:tabs>
          <w:tab w:val="left" w:pos="1572"/>
        </w:tabs>
        <w:spacing w:line="240" w:lineRule="auto"/>
        <w:ind w:right="140"/>
        <w:jc w:val="both"/>
        <w:rPr>
          <w:rFonts w:asciiTheme="majorHAnsi" w:hAnsiTheme="majorHAnsi" w:cstheme="majorHAnsi"/>
          <w:sz w:val="24"/>
          <w:szCs w:val="24"/>
        </w:rPr>
      </w:pPr>
      <w:r w:rsidRPr="002E75D4">
        <w:rPr>
          <w:rFonts w:asciiTheme="majorHAnsi" w:hAnsiTheme="majorHAnsi" w:cstheme="majorHAnsi"/>
          <w:sz w:val="24"/>
          <w:szCs w:val="24"/>
        </w:rPr>
        <w:t>Il ressort de ces concertations régionales, que les différentes régions étant situées dans les zones agro écologiques différentes sont inégales face aux effets du changement climatique. Il a été noté que les changements climatiques ont des répercussions sur les ressources naturelles d’une part et les activités économiques d’autre part, entravant ainsi le développement socioéconomique de ces régions différemment. A titre d’exemple certaines régions sont plus affectées par l’altération de leurs ressources naturelles, à cause de l’ampleur du changement climatiques (les perturbations des régimes de précipitations), ou parce que leurs ressources plus fragiles ou limitées dans ces régions (les réserves d’eau, déjà surexploitées, cas de Kayes, Koulikoro et Mopti).  L’impact sur les activités économiques est plus important dans autres régions, car ces activités sont directement dépendantes du climat, par l’exemple d’agriculture (cas de Sikasso, Ségou et Mopti) et aussi, ces régions disposant d’infrastructures moins résistantes. Il faut noter également que l’ampleur de la vulnérabilité dans les régions du centre (exemple Mopti) a entrainé une forte migration des populations sur les régions du sud (Sikasso et Bamako). Ce qui justifie la nécessité de la prise en compte par chaque région ou territoire de ses spécificités en matière de changement climatique.</w:t>
      </w:r>
    </w:p>
    <w:p w14:paraId="7BF1843E" w14:textId="77777777" w:rsidR="00C03EC4" w:rsidRPr="002E75D4" w:rsidRDefault="00C03EC4" w:rsidP="00C03EC4">
      <w:pPr>
        <w:tabs>
          <w:tab w:val="left" w:pos="1572"/>
        </w:tabs>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Ces concertations ont permis de mieux cibler les actions d’adaptation et d’atténuation.</w:t>
      </w:r>
    </w:p>
    <w:p w14:paraId="7B6B4790" w14:textId="77777777" w:rsidR="00C03EC4" w:rsidRDefault="00C03EC4" w:rsidP="00C03EC4">
      <w:pPr>
        <w:spacing w:before="40"/>
        <w:ind w:left="567" w:right="282" w:hanging="567"/>
        <w:rPr>
          <w:rFonts w:asciiTheme="majorHAnsi" w:hAnsiTheme="majorHAnsi" w:cstheme="majorHAnsi"/>
          <w:b/>
          <w:sz w:val="34"/>
          <w:szCs w:val="34"/>
        </w:rPr>
      </w:pPr>
    </w:p>
    <w:p w14:paraId="5DA5680E" w14:textId="77777777" w:rsidR="00C03EC4" w:rsidRDefault="00C03EC4" w:rsidP="00C03EC4">
      <w:pPr>
        <w:spacing w:before="40"/>
        <w:ind w:left="567" w:right="282" w:hanging="567"/>
        <w:rPr>
          <w:rFonts w:asciiTheme="majorHAnsi" w:hAnsiTheme="majorHAnsi" w:cstheme="majorHAnsi"/>
          <w:b/>
          <w:sz w:val="34"/>
          <w:szCs w:val="34"/>
        </w:rPr>
      </w:pPr>
    </w:p>
    <w:p w14:paraId="2D95CDF5" w14:textId="77777777" w:rsidR="00C03EC4" w:rsidRPr="00556BE5" w:rsidRDefault="00C03EC4" w:rsidP="00C03EC4">
      <w:pPr>
        <w:spacing w:before="40"/>
        <w:ind w:left="567" w:right="282" w:hanging="567"/>
        <w:rPr>
          <w:rFonts w:asciiTheme="majorHAnsi" w:hAnsiTheme="majorHAnsi" w:cstheme="majorHAnsi"/>
          <w:b/>
          <w:sz w:val="34"/>
          <w:szCs w:val="34"/>
        </w:rPr>
      </w:pPr>
      <w:r>
        <w:rPr>
          <w:rFonts w:asciiTheme="majorHAnsi" w:hAnsiTheme="majorHAnsi" w:cstheme="majorHAnsi"/>
          <w:b/>
          <w:sz w:val="34"/>
          <w:szCs w:val="34"/>
        </w:rPr>
        <w:t xml:space="preserve">2.3 </w:t>
      </w:r>
      <w:r w:rsidRPr="00556BE5">
        <w:rPr>
          <w:rFonts w:asciiTheme="majorHAnsi" w:hAnsiTheme="majorHAnsi" w:cstheme="majorHAnsi"/>
          <w:b/>
          <w:sz w:val="34"/>
          <w:szCs w:val="34"/>
        </w:rPr>
        <w:t>PRISE EN COMPTE DU GENRE DANS LE PROCESSUS DE REVISION DE LA CDN</w:t>
      </w:r>
    </w:p>
    <w:p w14:paraId="670B06EB" w14:textId="77777777" w:rsidR="00C03EC4" w:rsidRPr="002E75D4" w:rsidRDefault="00C03EC4" w:rsidP="00C03EC4">
      <w:pPr>
        <w:spacing w:line="240" w:lineRule="auto"/>
        <w:jc w:val="both"/>
        <w:rPr>
          <w:rFonts w:asciiTheme="majorHAnsi" w:hAnsiTheme="majorHAnsi" w:cstheme="majorHAnsi"/>
          <w:sz w:val="24"/>
          <w:szCs w:val="24"/>
        </w:rPr>
      </w:pPr>
      <w:bookmarkStart w:id="2" w:name="_Toc69294758"/>
      <w:r w:rsidRPr="002E75D4">
        <w:rPr>
          <w:rFonts w:asciiTheme="majorHAnsi" w:hAnsiTheme="majorHAnsi" w:cstheme="majorHAnsi"/>
          <w:sz w:val="24"/>
          <w:szCs w:val="24"/>
        </w:rPr>
        <w:t>Le changement climatique est un phénomène global avec des impacts sur tous les aspects de la vie humaine. Il est donc important d’envisager des solutions globales et locales pour faire face aux effets néfastes qui deviennent de plus en plus graves au fur des années.</w:t>
      </w:r>
    </w:p>
    <w:p w14:paraId="2D155A30" w14:textId="77777777" w:rsidR="00C03EC4" w:rsidRPr="002E75D4" w:rsidRDefault="00C03EC4" w:rsidP="00C03EC4">
      <w:pPr>
        <w:spacing w:line="240" w:lineRule="auto"/>
        <w:jc w:val="both"/>
        <w:rPr>
          <w:rFonts w:asciiTheme="majorHAnsi" w:hAnsiTheme="majorHAnsi" w:cstheme="majorHAnsi"/>
          <w:sz w:val="24"/>
          <w:szCs w:val="24"/>
          <w:lang w:val="fr-CA"/>
        </w:rPr>
      </w:pPr>
      <w:r w:rsidRPr="002E75D4">
        <w:rPr>
          <w:rFonts w:asciiTheme="majorHAnsi" w:hAnsiTheme="majorHAnsi" w:cstheme="majorHAnsi"/>
          <w:sz w:val="24"/>
          <w:szCs w:val="24"/>
        </w:rPr>
        <w:t xml:space="preserve">Pendant plusieurs années, on a supposé que les impacts négatifs du changement climatique et les efforts pour les atténuer avaient des effets similaires sur les femmes et les hommes. Cependant, le monde a progressivement reconnu que les femmes et les hommes vivent le changement climatique différemment et que les inégalités entre les sexes aggravent la capacité d’adaptation des femmes (éviter de </w:t>
      </w:r>
      <w:r w:rsidRPr="002E75D4">
        <w:rPr>
          <w:rFonts w:asciiTheme="majorHAnsi" w:hAnsiTheme="majorHAnsi" w:cstheme="majorHAnsi"/>
          <w:sz w:val="24"/>
          <w:szCs w:val="24"/>
          <w:lang w:val="fr-CA"/>
        </w:rPr>
        <w:t>ramener le Genre à la femme seulement…)</w:t>
      </w:r>
    </w:p>
    <w:p w14:paraId="27319DBC" w14:textId="77777777" w:rsidR="00C03EC4" w:rsidRPr="002E75D4" w:rsidRDefault="00C03EC4" w:rsidP="00C03EC4">
      <w:pPr>
        <w:pStyle w:val="CorpsAA"/>
        <w:jc w:val="both"/>
        <w:rPr>
          <w:rStyle w:val="AucunA"/>
          <w:rFonts w:asciiTheme="majorHAnsi" w:hAnsiTheme="majorHAnsi" w:cstheme="majorHAnsi"/>
          <w:color w:val="auto"/>
        </w:rPr>
      </w:pPr>
      <w:r w:rsidRPr="002E75D4">
        <w:rPr>
          <w:rStyle w:val="AucunA"/>
          <w:rFonts w:asciiTheme="majorHAnsi" w:hAnsiTheme="majorHAnsi" w:cstheme="majorHAnsi"/>
          <w:color w:val="auto"/>
        </w:rPr>
        <w:t xml:space="preserve">En raison des inégalités entre les sexes et de l'exclusion, les femmes et les filles sont particulièrement défavorisés. Le changement climatique tend à exacerber les inégalités existantes entre les sexes ; les femmes et les filles en particulier, pourraient donc être confrontées à des impacts négatifs plus importants en raison de leurs accès limités aux dividendes de développement et aux opportunités </w:t>
      </w:r>
    </w:p>
    <w:p w14:paraId="357CF4E9" w14:textId="77777777" w:rsidR="00C03EC4" w:rsidRPr="002E75D4" w:rsidRDefault="00C03EC4" w:rsidP="00C03EC4">
      <w:pPr>
        <w:pStyle w:val="CorpsAA"/>
        <w:jc w:val="both"/>
        <w:rPr>
          <w:rStyle w:val="AucunA"/>
          <w:rFonts w:asciiTheme="majorHAnsi" w:hAnsiTheme="majorHAnsi" w:cstheme="majorHAnsi"/>
          <w:color w:val="auto"/>
        </w:rPr>
      </w:pPr>
    </w:p>
    <w:p w14:paraId="15CC70A7" w14:textId="77777777" w:rsidR="00C03EC4" w:rsidRPr="002E75D4" w:rsidRDefault="00C03EC4" w:rsidP="00C03EC4">
      <w:pPr>
        <w:spacing w:line="240" w:lineRule="auto"/>
        <w:jc w:val="both"/>
        <w:rPr>
          <w:rStyle w:val="AucunA"/>
          <w:rFonts w:asciiTheme="majorHAnsi" w:hAnsiTheme="majorHAnsi" w:cstheme="majorHAnsi"/>
          <w:sz w:val="24"/>
          <w:szCs w:val="24"/>
        </w:rPr>
      </w:pPr>
      <w:r w:rsidRPr="002E75D4">
        <w:rPr>
          <w:rStyle w:val="AucunA"/>
          <w:rFonts w:asciiTheme="majorHAnsi" w:hAnsiTheme="majorHAnsi" w:cstheme="majorHAnsi"/>
          <w:sz w:val="24"/>
          <w:szCs w:val="24"/>
        </w:rPr>
        <w:t xml:space="preserve">Leur faible participation aux processus de contrôle, de décision et aux marchés du travail aggrave les inégalités et les empêche souvent de contribuer pleinement à la planification, à l'élaboration, à la mise en œuvre, au suivi et à l'évaluation des politiques liées au climat. Les femmes constituent également la majorité de la population pauvre dans le monde alors qu’elles sont les plus souvent responsables de la production alimentaire des ménages, </w:t>
      </w:r>
      <w:r w:rsidRPr="002E75D4">
        <w:rPr>
          <w:rFonts w:asciiTheme="majorHAnsi" w:hAnsiTheme="majorHAnsi" w:cstheme="majorHAnsi"/>
          <w:sz w:val="24"/>
          <w:szCs w:val="24"/>
        </w:rPr>
        <w:t>de s</w:t>
      </w:r>
      <w:r w:rsidRPr="002E75D4">
        <w:rPr>
          <w:rFonts w:asciiTheme="majorHAnsi" w:hAnsiTheme="majorHAnsi" w:cstheme="majorHAnsi"/>
          <w:sz w:val="24"/>
          <w:szCs w:val="24"/>
          <w:lang w:val="fr-ML"/>
        </w:rPr>
        <w:t xml:space="preserve">oins aux enfants et aux personnes âgées, </w:t>
      </w:r>
      <w:r w:rsidRPr="002E75D4">
        <w:rPr>
          <w:rStyle w:val="AucunA"/>
          <w:rFonts w:asciiTheme="majorHAnsi" w:hAnsiTheme="majorHAnsi" w:cstheme="majorHAnsi"/>
          <w:sz w:val="24"/>
          <w:szCs w:val="24"/>
        </w:rPr>
        <w:t>de la nutrition de la famille et de la gestion des ressources naturelles des secteurs particulièrement sensibles au changement climatique</w:t>
      </w:r>
    </w:p>
    <w:p w14:paraId="5F0A809F"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Il a également été reconnu que les femmes sont des actrices importantes du changement et détentrices de connaissances et de compétences importantes liées à l'atténuation, à l'adaptation et à la réduction des risques face au changement climatique, ce qui en fait des agents essentiels dans ce domaine. Par conséquent, il est urgent d'adopter une approche sensible au genre dans l'élaboration des politiques et la programmation en matière de changement climatique.</w:t>
      </w:r>
    </w:p>
    <w:p w14:paraId="30F53851"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D’un côté, les femmes sont victimes des effets néfastes des changements climatiques mais de l’autre, certaines activités féminines, telles que la teinture des Bazin et les transformations artisanales de produits agricoles, ont des impacts négatifs sur l’environnement (Profil Genre du Mali par la BAD en 2012).  Il est important d’inclure les voix, les besoins et l’expertise des femmes dans les politiques et programmes relatifs aux changements climatiques et montrer comment les contributions des femmes peuvent renforcer l’efficacité des mesures relatives aux changements climatiques</w:t>
      </w:r>
    </w:p>
    <w:p w14:paraId="4A7E4C20" w14:textId="77777777" w:rsidR="00C03EC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Il faut également noter que les praticiens et les décideurs politiques n’ont pas toujours les connaissances et les compétences suffisantes en ce qui concerne les liens entre l'égalité des sexes et les changements climatiques et leur importance par rapport à la réalisation des objectifs du Développement Durable. </w:t>
      </w:r>
    </w:p>
    <w:p w14:paraId="6A3B3327"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Au regard de ces constats, le processus de la Convention Cadre des Unies sur le changement climatique a adopté le plan d’actions de Lima relatif au genre. Ce plan d’actions qui reconnait le rôle des femmes qu’elles doivent jouer pleinement dans la lutte contre les changements climatiques en favorisant des politiques climatiques favorisant l’égalité des sexes et l’intégration d’une perspective de genre dans la mise en œuvre des CDNs. </w:t>
      </w:r>
    </w:p>
    <w:p w14:paraId="7C263C9A" w14:textId="77777777" w:rsidR="00C03EC4" w:rsidRDefault="00C03EC4" w:rsidP="00C03EC4">
      <w:pPr>
        <w:spacing w:before="120"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La dimension genre étant transversale dans tous les secteurs de la CDN, pour assurer son intégration effective, les actions</w:t>
      </w:r>
      <w:r>
        <w:rPr>
          <w:rFonts w:asciiTheme="majorHAnsi" w:hAnsiTheme="majorHAnsi" w:cstheme="majorHAnsi"/>
          <w:sz w:val="24"/>
          <w:szCs w:val="24"/>
        </w:rPr>
        <w:t xml:space="preserve"> suivantes seront entreprises :</w:t>
      </w:r>
    </w:p>
    <w:p w14:paraId="61EFCD30" w14:textId="77777777" w:rsidR="00C03EC4" w:rsidRPr="009A198F" w:rsidRDefault="00C03EC4" w:rsidP="00C03EC4">
      <w:pPr>
        <w:pStyle w:val="Paragraphedeliste"/>
        <w:numPr>
          <w:ilvl w:val="0"/>
          <w:numId w:val="69"/>
        </w:numPr>
        <w:spacing w:before="120" w:after="120" w:line="240" w:lineRule="auto"/>
        <w:jc w:val="both"/>
        <w:rPr>
          <w:rFonts w:asciiTheme="majorHAnsi" w:hAnsiTheme="majorHAnsi" w:cstheme="majorHAnsi"/>
          <w:sz w:val="24"/>
          <w:szCs w:val="24"/>
        </w:rPr>
      </w:pPr>
      <w:r w:rsidRPr="009A198F">
        <w:rPr>
          <w:rFonts w:asciiTheme="majorHAnsi" w:hAnsiTheme="majorHAnsi" w:cstheme="majorHAnsi"/>
          <w:bCs/>
          <w:sz w:val="24"/>
          <w:szCs w:val="24"/>
        </w:rPr>
        <w:t>Révision de toutes les politiques sectorielles et programmes seront pour intégrer :</w:t>
      </w:r>
    </w:p>
    <w:p w14:paraId="479FA458" w14:textId="77777777" w:rsidR="00C03EC4" w:rsidRPr="009A198F" w:rsidRDefault="00C03EC4" w:rsidP="00C03EC4">
      <w:pPr>
        <w:pStyle w:val="Paragraphedeliste"/>
        <w:numPr>
          <w:ilvl w:val="0"/>
          <w:numId w:val="70"/>
        </w:numPr>
        <w:spacing w:before="120" w:after="120" w:line="240" w:lineRule="auto"/>
        <w:jc w:val="both"/>
        <w:rPr>
          <w:rFonts w:asciiTheme="majorHAnsi" w:hAnsiTheme="majorHAnsi" w:cstheme="majorHAnsi"/>
          <w:sz w:val="24"/>
          <w:szCs w:val="24"/>
        </w:rPr>
      </w:pPr>
      <w:r w:rsidRPr="009A198F">
        <w:rPr>
          <w:rFonts w:asciiTheme="majorHAnsi" w:hAnsiTheme="majorHAnsi" w:cstheme="majorHAnsi"/>
          <w:sz w:val="24"/>
          <w:szCs w:val="24"/>
        </w:rPr>
        <w:t>une analyse spécifique du secteur avec des données désagrégées par sexe portant</w:t>
      </w:r>
      <w:r w:rsidRPr="009A198F">
        <w:rPr>
          <w:rFonts w:asciiTheme="majorHAnsi" w:hAnsiTheme="majorHAnsi" w:cstheme="majorHAnsi"/>
          <w:bCs/>
          <w:sz w:val="24"/>
          <w:szCs w:val="24"/>
        </w:rPr>
        <w:t xml:space="preserve"> sur</w:t>
      </w:r>
      <w:r w:rsidRPr="009A198F">
        <w:rPr>
          <w:rFonts w:asciiTheme="majorHAnsi" w:hAnsiTheme="majorHAnsi" w:cstheme="majorHAnsi"/>
          <w:sz w:val="24"/>
          <w:szCs w:val="24"/>
        </w:rPr>
        <w:t> : les mesures d’adaptation et d’atténuation ; les impacts et les vulnérabilités selon le sexe ; les contributions selon les sexes (contributions tant au niveau de l’aggravation que de l’atténuation des effets néfastes du changement climatique) ;</w:t>
      </w:r>
    </w:p>
    <w:p w14:paraId="5270B21D" w14:textId="77777777" w:rsidR="00C03EC4" w:rsidRPr="009A198F" w:rsidRDefault="00C03EC4" w:rsidP="00C03EC4">
      <w:pPr>
        <w:pStyle w:val="Paragraphedeliste"/>
        <w:numPr>
          <w:ilvl w:val="0"/>
          <w:numId w:val="70"/>
        </w:numPr>
        <w:spacing w:before="120" w:after="120" w:line="240" w:lineRule="auto"/>
        <w:jc w:val="both"/>
        <w:rPr>
          <w:rFonts w:asciiTheme="majorHAnsi" w:hAnsiTheme="majorHAnsi" w:cstheme="majorHAnsi"/>
          <w:sz w:val="24"/>
          <w:szCs w:val="24"/>
        </w:rPr>
      </w:pPr>
      <w:r w:rsidRPr="009A198F">
        <w:rPr>
          <w:rFonts w:asciiTheme="majorHAnsi" w:hAnsiTheme="majorHAnsi" w:cstheme="majorHAnsi"/>
          <w:sz w:val="24"/>
          <w:szCs w:val="24"/>
        </w:rPr>
        <w:t>des orientations stratégiques visant à corriger les inégalités et les vulnérabilités basées sur le genre, maximiser la contribution des hommes comme celles des femmes ; permettre un accès équitable aux bénéfices et faciliter les réponses aux besoins pratiques et stratégiques des femmes tout en veillant à ce qu’un projet n’accentue pas les inégalités entre les hommes et les femmes et/ou n’en crée pas de nouvelles ;</w:t>
      </w:r>
    </w:p>
    <w:p w14:paraId="486DDCD3" w14:textId="77777777" w:rsidR="00C03EC4" w:rsidRPr="009A198F" w:rsidRDefault="00C03EC4" w:rsidP="00C03EC4">
      <w:pPr>
        <w:pStyle w:val="Paragraphedeliste"/>
        <w:numPr>
          <w:ilvl w:val="0"/>
          <w:numId w:val="70"/>
        </w:numPr>
        <w:spacing w:before="120" w:after="120" w:line="240" w:lineRule="auto"/>
        <w:jc w:val="both"/>
        <w:rPr>
          <w:rFonts w:asciiTheme="majorHAnsi" w:hAnsiTheme="majorHAnsi" w:cstheme="majorHAnsi"/>
          <w:sz w:val="24"/>
          <w:szCs w:val="24"/>
        </w:rPr>
      </w:pPr>
      <w:r w:rsidRPr="009A198F">
        <w:rPr>
          <w:rFonts w:asciiTheme="majorHAnsi" w:hAnsiTheme="majorHAnsi" w:cstheme="majorHAnsi"/>
          <w:sz w:val="24"/>
          <w:szCs w:val="24"/>
        </w:rPr>
        <w:t>élaborer pour chaque secteur des objectifs et des indicateurs de résultats et d’impacts relatifs à l’égalité des sexes dans les domaines de l’atténuation et l’adaptation.</w:t>
      </w:r>
    </w:p>
    <w:p w14:paraId="39BD5FC6" w14:textId="77777777" w:rsidR="00C03EC4" w:rsidRPr="009A198F" w:rsidRDefault="00C03EC4" w:rsidP="00C03EC4">
      <w:pPr>
        <w:pStyle w:val="Paragraphedeliste"/>
        <w:numPr>
          <w:ilvl w:val="0"/>
          <w:numId w:val="69"/>
        </w:numPr>
        <w:spacing w:before="120" w:after="120"/>
        <w:jc w:val="both"/>
        <w:rPr>
          <w:rFonts w:asciiTheme="majorHAnsi" w:hAnsiTheme="majorHAnsi" w:cstheme="majorHAnsi"/>
          <w:bCs/>
          <w:sz w:val="24"/>
          <w:szCs w:val="24"/>
        </w:rPr>
      </w:pPr>
      <w:r w:rsidRPr="009A198F">
        <w:rPr>
          <w:rFonts w:asciiTheme="majorHAnsi" w:hAnsiTheme="majorHAnsi" w:cstheme="majorHAnsi"/>
          <w:bCs/>
          <w:sz w:val="24"/>
          <w:szCs w:val="24"/>
        </w:rPr>
        <w:t>Intégration du genre dans la Feuille de route de la CDN</w:t>
      </w:r>
    </w:p>
    <w:p w14:paraId="310FEF98" w14:textId="77777777" w:rsidR="00C03EC4" w:rsidRPr="009A198F" w:rsidRDefault="00C03EC4" w:rsidP="00C03EC4">
      <w:pPr>
        <w:spacing w:before="120" w:after="120" w:line="240" w:lineRule="auto"/>
        <w:jc w:val="both"/>
        <w:rPr>
          <w:rFonts w:asciiTheme="majorHAnsi" w:hAnsiTheme="majorHAnsi" w:cstheme="majorHAnsi"/>
          <w:sz w:val="24"/>
          <w:szCs w:val="24"/>
        </w:rPr>
      </w:pPr>
      <w:r w:rsidRPr="009A198F">
        <w:rPr>
          <w:rFonts w:asciiTheme="majorHAnsi" w:hAnsiTheme="majorHAnsi" w:cstheme="majorHAnsi"/>
          <w:sz w:val="24"/>
          <w:szCs w:val="24"/>
        </w:rPr>
        <w:t>Intégrer les dimensions citées plus haut dans la Feuille de route de la CDN ; adopter une budgétisation sensible au genre et assurer la représentation quantitative et qualitative des femmes dans les instances de décision à différents niveaux.</w:t>
      </w:r>
    </w:p>
    <w:p w14:paraId="4B676AB1" w14:textId="77777777" w:rsidR="00C03EC4" w:rsidRPr="009A198F" w:rsidRDefault="00C03EC4" w:rsidP="00C03EC4">
      <w:pPr>
        <w:pStyle w:val="Paragraphedeliste"/>
        <w:numPr>
          <w:ilvl w:val="0"/>
          <w:numId w:val="69"/>
        </w:numPr>
        <w:spacing w:before="120" w:after="120" w:line="240" w:lineRule="auto"/>
        <w:jc w:val="both"/>
        <w:rPr>
          <w:rFonts w:asciiTheme="majorHAnsi" w:hAnsiTheme="majorHAnsi" w:cstheme="majorHAnsi"/>
          <w:bCs/>
          <w:sz w:val="24"/>
          <w:szCs w:val="24"/>
        </w:rPr>
      </w:pPr>
      <w:r w:rsidRPr="009A198F">
        <w:rPr>
          <w:rFonts w:asciiTheme="majorHAnsi" w:hAnsiTheme="majorHAnsi" w:cstheme="majorHAnsi"/>
          <w:bCs/>
          <w:sz w:val="24"/>
          <w:szCs w:val="24"/>
        </w:rPr>
        <w:t xml:space="preserve">Renforcement des capacités des parties prenantes </w:t>
      </w:r>
    </w:p>
    <w:p w14:paraId="5974E549" w14:textId="77777777" w:rsidR="00C03EC4" w:rsidRPr="009A198F" w:rsidRDefault="00C03EC4" w:rsidP="00C03EC4">
      <w:pPr>
        <w:spacing w:before="120" w:after="120" w:line="240" w:lineRule="auto"/>
        <w:jc w:val="both"/>
        <w:rPr>
          <w:rFonts w:asciiTheme="majorHAnsi" w:hAnsiTheme="majorHAnsi" w:cstheme="majorHAnsi"/>
          <w:sz w:val="24"/>
          <w:szCs w:val="24"/>
        </w:rPr>
      </w:pPr>
      <w:r w:rsidRPr="009A198F">
        <w:rPr>
          <w:rFonts w:asciiTheme="majorHAnsi" w:hAnsiTheme="majorHAnsi" w:cstheme="majorHAnsi"/>
          <w:sz w:val="24"/>
          <w:szCs w:val="24"/>
        </w:rPr>
        <w:t xml:space="preserve">Il s’agira de familiariser les différents intervenants aux concepts du genre mais surtout à leur application dans les différents domaines de la CDN et tout au long du cycle de la programmation (planification, mise en œuvre, évaluation) dans une approche respectueuse des droits humains et des valeurs culturelles positives. </w:t>
      </w:r>
    </w:p>
    <w:p w14:paraId="748D0B51" w14:textId="77777777" w:rsidR="00C03EC4" w:rsidRPr="009A198F" w:rsidRDefault="00C03EC4" w:rsidP="00C03EC4">
      <w:pPr>
        <w:pStyle w:val="Body2"/>
        <w:spacing w:before="120" w:after="0" w:line="276" w:lineRule="auto"/>
        <w:ind w:left="0"/>
        <w:rPr>
          <w:rFonts w:asciiTheme="majorHAnsi" w:hAnsiTheme="majorHAnsi" w:cstheme="majorHAnsi"/>
          <w:sz w:val="24"/>
          <w:szCs w:val="24"/>
        </w:rPr>
      </w:pPr>
      <w:r w:rsidRPr="009A198F">
        <w:rPr>
          <w:rFonts w:asciiTheme="majorHAnsi" w:hAnsiTheme="majorHAnsi" w:cstheme="majorHAnsi"/>
          <w:sz w:val="24"/>
          <w:szCs w:val="24"/>
        </w:rPr>
        <w:t>Par ailleurs</w:t>
      </w:r>
      <w:r>
        <w:rPr>
          <w:rFonts w:asciiTheme="majorHAnsi" w:hAnsiTheme="majorHAnsi" w:cstheme="majorHAnsi"/>
          <w:sz w:val="24"/>
          <w:szCs w:val="24"/>
        </w:rPr>
        <w:t xml:space="preserve">, </w:t>
      </w:r>
      <w:r w:rsidRPr="009A198F">
        <w:rPr>
          <w:rFonts w:asciiTheme="majorHAnsi" w:hAnsiTheme="majorHAnsi" w:cstheme="majorHAnsi"/>
          <w:sz w:val="24"/>
          <w:szCs w:val="24"/>
        </w:rPr>
        <w:t xml:space="preserve">une équipe d’experts internationaux de l’Institut d’Environnement de Stockholm (SEI) a analysé les émissions des secteurs énergie, agriculture et déchets et les polluants à courte de vie avec un logiciel utilisant les directives du GIEC, le LEAP (Long-range Energy Alternatives Planning system). </w:t>
      </w:r>
    </w:p>
    <w:p w14:paraId="61F80E8C" w14:textId="77777777" w:rsidR="00C03EC4" w:rsidRPr="002E75D4" w:rsidRDefault="00C03EC4" w:rsidP="00C03EC4">
      <w:pPr>
        <w:jc w:val="both"/>
        <w:rPr>
          <w:rFonts w:asciiTheme="majorHAnsi" w:hAnsiTheme="majorHAnsi" w:cstheme="majorHAnsi"/>
          <w:sz w:val="24"/>
          <w:szCs w:val="24"/>
        </w:rPr>
      </w:pPr>
      <w:r w:rsidRPr="009A198F">
        <w:rPr>
          <w:rFonts w:asciiTheme="majorHAnsi" w:hAnsiTheme="majorHAnsi" w:cstheme="majorHAnsi"/>
          <w:sz w:val="24"/>
          <w:szCs w:val="24"/>
          <w:lang w:val="fr-ML"/>
        </w:rPr>
        <w:t>Le cadre général de modélisation LEAP est présenté à la figure 3. Outre la comptabilisation des émissions, LEAP relie également la modélisation de l'offre et de la demande d'énergie, ce qui signifie que les interactions entre l'offre et la demande d'énergie sont prises en compte dans l'élaboration des scénarios de référence et d'atténuation</w:t>
      </w:r>
      <w:r w:rsidRPr="009A198F">
        <w:rPr>
          <w:rFonts w:asciiTheme="majorHAnsi" w:hAnsiTheme="majorHAnsi" w:cstheme="majorHAnsi"/>
          <w:sz w:val="24"/>
          <w:szCs w:val="24"/>
        </w:rPr>
        <w:t xml:space="preserve">. </w:t>
      </w:r>
    </w:p>
    <w:bookmarkEnd w:id="2"/>
    <w:p w14:paraId="0452EEE6" w14:textId="77777777" w:rsidR="00C03EC4" w:rsidRPr="002E75D4" w:rsidRDefault="00682E00" w:rsidP="00C03EC4">
      <w:pPr>
        <w:spacing w:after="100" w:afterAutospacing="1"/>
        <w:jc w:val="both"/>
        <w:rPr>
          <w:rFonts w:asciiTheme="majorHAnsi" w:hAnsiTheme="majorHAnsi" w:cstheme="majorHAnsi"/>
          <w:noProof/>
        </w:rPr>
      </w:pPr>
      <w:r w:rsidRPr="002E75D4">
        <w:rPr>
          <w:rFonts w:asciiTheme="majorHAnsi" w:hAnsiTheme="majorHAnsi" w:cstheme="majorHAnsi"/>
          <w:noProof/>
        </w:rPr>
        <w:object w:dxaOrig="12450" w:dyaOrig="7905" w14:anchorId="0AEA7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3.95pt;height:312.95pt;mso-width-percent:0;mso-height-percent:0;mso-width-percent:0;mso-height-percent:0" o:ole="">
            <v:imagedata r:id="rId19" o:title=""/>
          </v:shape>
          <o:OLEObject Type="Embed" ProgID="Unknown" ShapeID="_x0000_i1025" DrawAspect="Content" ObjectID="_1736932841" r:id="rId20"/>
        </w:object>
      </w:r>
    </w:p>
    <w:p w14:paraId="7CA39F74" w14:textId="77777777" w:rsidR="00C03EC4" w:rsidRPr="002E75D4" w:rsidRDefault="00C03EC4" w:rsidP="00C03EC4">
      <w:pPr>
        <w:jc w:val="both"/>
        <w:rPr>
          <w:rFonts w:asciiTheme="majorHAnsi" w:hAnsiTheme="majorHAnsi" w:cstheme="majorHAnsi"/>
          <w:lang w:val="fr-ML"/>
        </w:rPr>
      </w:pPr>
      <w:r w:rsidRPr="00EA7465">
        <w:rPr>
          <w:rFonts w:asciiTheme="majorHAnsi" w:hAnsiTheme="majorHAnsi" w:cstheme="majorHAnsi"/>
          <w:b/>
          <w:noProof/>
        </w:rPr>
        <w:t xml:space="preserve"> </w:t>
      </w:r>
      <w:r w:rsidRPr="00EA7465">
        <w:rPr>
          <w:rFonts w:cstheme="minorHAnsi"/>
          <w:b/>
          <w:u w:val="single"/>
          <w:lang w:val="fr-ML"/>
        </w:rPr>
        <w:t>Figure 3</w:t>
      </w:r>
      <w:r w:rsidRPr="002E75D4">
        <w:rPr>
          <w:rFonts w:cstheme="minorHAnsi"/>
          <w:lang w:val="fr-ML"/>
        </w:rPr>
        <w:t>:</w:t>
      </w:r>
      <w:r w:rsidRPr="002E75D4">
        <w:rPr>
          <w:rFonts w:asciiTheme="majorHAnsi" w:hAnsiTheme="majorHAnsi" w:cstheme="majorHAnsi"/>
          <w:lang w:val="fr-ML"/>
        </w:rPr>
        <w:t xml:space="preserve"> Représentation du cadre de modélisation LEAP</w:t>
      </w:r>
    </w:p>
    <w:p w14:paraId="2C29244C" w14:textId="77777777" w:rsidR="00C03EC4" w:rsidRPr="002E75D4" w:rsidRDefault="00C03EC4" w:rsidP="00C03EC4">
      <w:pPr>
        <w:jc w:val="both"/>
        <w:rPr>
          <w:rFonts w:asciiTheme="majorHAnsi" w:hAnsiTheme="majorHAnsi" w:cstheme="majorHAnsi"/>
        </w:rPr>
      </w:pPr>
    </w:p>
    <w:p w14:paraId="41623487" w14:textId="77777777" w:rsidR="00C03EC4" w:rsidRPr="005F51BC" w:rsidRDefault="00C03EC4" w:rsidP="00C03EC4">
      <w:pPr>
        <w:jc w:val="both"/>
        <w:rPr>
          <w:rFonts w:asciiTheme="majorHAnsi" w:hAnsiTheme="majorHAnsi" w:cstheme="majorHAnsi"/>
          <w:sz w:val="16"/>
        </w:rPr>
      </w:pPr>
      <w:r w:rsidRPr="002E75D4">
        <w:rPr>
          <w:rFonts w:asciiTheme="majorHAnsi" w:hAnsiTheme="majorHAnsi" w:cstheme="majorHAnsi"/>
          <w:sz w:val="24"/>
          <w:szCs w:val="24"/>
        </w:rPr>
        <w:t xml:space="preserve">En ce qui concerne l’adaptation, la CDN développe ses prévisions en cohérence avec les travaux en cours de préparation du Plan National d’Adaptation du Mali. </w:t>
      </w:r>
    </w:p>
    <w:p w14:paraId="6F85EC5E" w14:textId="77777777" w:rsidR="00C03EC4" w:rsidRPr="00A021BD" w:rsidRDefault="00C03EC4" w:rsidP="00C03EC4">
      <w:pPr>
        <w:jc w:val="both"/>
        <w:rPr>
          <w:rFonts w:asciiTheme="majorHAnsi" w:hAnsiTheme="majorHAnsi" w:cstheme="majorHAnsi"/>
          <w:bCs/>
          <w:sz w:val="24"/>
          <w:szCs w:val="24"/>
        </w:rPr>
      </w:pPr>
      <w:r w:rsidRPr="00A021BD">
        <w:rPr>
          <w:rFonts w:asciiTheme="majorHAnsi" w:hAnsiTheme="majorHAnsi" w:cstheme="majorHAnsi"/>
          <w:bCs/>
          <w:sz w:val="24"/>
          <w:szCs w:val="24"/>
        </w:rPr>
        <w:t>Les critères de sélection des projets ont été faits suivants :</w:t>
      </w:r>
    </w:p>
    <w:p w14:paraId="7FC9BD5E" w14:textId="77777777" w:rsidR="00C03EC4" w:rsidRPr="002E75D4" w:rsidRDefault="00C03EC4" w:rsidP="00C03EC4">
      <w:pPr>
        <w:pStyle w:val="Paragraphedeliste"/>
        <w:numPr>
          <w:ilvl w:val="0"/>
          <w:numId w:val="29"/>
        </w:numPr>
        <w:jc w:val="both"/>
        <w:rPr>
          <w:rFonts w:asciiTheme="majorHAnsi" w:hAnsiTheme="majorHAnsi" w:cstheme="majorHAnsi"/>
          <w:sz w:val="24"/>
          <w:szCs w:val="24"/>
        </w:rPr>
      </w:pPr>
      <w:r w:rsidRPr="002E75D4">
        <w:rPr>
          <w:rFonts w:asciiTheme="majorHAnsi" w:hAnsiTheme="majorHAnsi" w:cstheme="majorHAnsi"/>
          <w:sz w:val="24"/>
          <w:szCs w:val="24"/>
        </w:rPr>
        <w:t xml:space="preserve">La conformité aux orientations nationales du CREDD et aux objectifs de développement durable (ODD), </w:t>
      </w:r>
    </w:p>
    <w:p w14:paraId="7972BCA6" w14:textId="77777777" w:rsidR="00C03EC4" w:rsidRPr="002E75D4" w:rsidRDefault="00C03EC4" w:rsidP="00C03EC4">
      <w:pPr>
        <w:pStyle w:val="Paragraphedeliste"/>
        <w:numPr>
          <w:ilvl w:val="0"/>
          <w:numId w:val="29"/>
        </w:numPr>
        <w:jc w:val="both"/>
        <w:rPr>
          <w:rFonts w:asciiTheme="majorHAnsi" w:hAnsiTheme="majorHAnsi" w:cstheme="majorHAnsi"/>
          <w:sz w:val="24"/>
          <w:szCs w:val="24"/>
        </w:rPr>
      </w:pPr>
      <w:r w:rsidRPr="002E75D4">
        <w:rPr>
          <w:rFonts w:asciiTheme="majorHAnsi" w:hAnsiTheme="majorHAnsi" w:cstheme="majorHAnsi"/>
          <w:sz w:val="24"/>
          <w:szCs w:val="24"/>
        </w:rPr>
        <w:t>L’analyse de la vulnérabilité des populations et des milieux concernés (écosystèmes et agrosystèmes) ;</w:t>
      </w:r>
    </w:p>
    <w:p w14:paraId="41BC3619" w14:textId="77777777" w:rsidR="00C03EC4" w:rsidRPr="002E75D4" w:rsidRDefault="00C03EC4" w:rsidP="00C03EC4">
      <w:pPr>
        <w:pStyle w:val="Paragraphedeliste"/>
        <w:numPr>
          <w:ilvl w:val="0"/>
          <w:numId w:val="29"/>
        </w:numPr>
        <w:spacing w:before="120" w:after="120"/>
        <w:jc w:val="both"/>
        <w:rPr>
          <w:rFonts w:asciiTheme="majorHAnsi" w:hAnsiTheme="majorHAnsi" w:cstheme="majorHAnsi"/>
          <w:sz w:val="24"/>
          <w:szCs w:val="24"/>
        </w:rPr>
      </w:pPr>
      <w:r w:rsidRPr="002E75D4">
        <w:rPr>
          <w:rFonts w:asciiTheme="majorHAnsi" w:hAnsiTheme="majorHAnsi" w:cstheme="majorHAnsi"/>
          <w:sz w:val="24"/>
          <w:szCs w:val="24"/>
        </w:rPr>
        <w:t xml:space="preserve">La prise en compte d’un environnement sain et d’un développement durable notamment pour combattre la désertification, assurer une agriculture durable et la sécurité alimentaire, combattre les pollutions, assurer une gestion durable des ressources naturelles renouvelables ; </w:t>
      </w:r>
    </w:p>
    <w:p w14:paraId="6C74386B" w14:textId="77777777" w:rsidR="00C03EC4" w:rsidRPr="002E75D4" w:rsidRDefault="00C03EC4" w:rsidP="00C03EC4">
      <w:pPr>
        <w:pStyle w:val="Paragraphedeliste"/>
        <w:numPr>
          <w:ilvl w:val="0"/>
          <w:numId w:val="29"/>
        </w:numPr>
        <w:spacing w:before="120" w:after="120"/>
        <w:jc w:val="both"/>
        <w:rPr>
          <w:rFonts w:asciiTheme="majorHAnsi" w:hAnsiTheme="majorHAnsi" w:cstheme="majorHAnsi"/>
          <w:sz w:val="24"/>
          <w:szCs w:val="24"/>
        </w:rPr>
      </w:pPr>
      <w:r w:rsidRPr="002E75D4">
        <w:rPr>
          <w:rFonts w:asciiTheme="majorHAnsi" w:hAnsiTheme="majorHAnsi" w:cstheme="majorHAnsi"/>
          <w:sz w:val="24"/>
          <w:szCs w:val="24"/>
        </w:rPr>
        <w:t>L’identification de stratégies de mobilisation des ressources financières crédibles.</w:t>
      </w:r>
    </w:p>
    <w:p w14:paraId="41A54AD2" w14:textId="77777777" w:rsidR="00C03EC4" w:rsidRPr="002E75D4" w:rsidRDefault="00C03EC4" w:rsidP="00C03EC4">
      <w:pPr>
        <w:spacing w:before="120" w:after="120"/>
        <w:jc w:val="both"/>
        <w:rPr>
          <w:rFonts w:asciiTheme="majorHAnsi" w:hAnsiTheme="majorHAnsi" w:cstheme="majorHAnsi"/>
          <w:sz w:val="24"/>
          <w:szCs w:val="24"/>
        </w:rPr>
      </w:pPr>
      <w:r w:rsidRPr="002E75D4">
        <w:rPr>
          <w:rFonts w:asciiTheme="majorHAnsi" w:hAnsiTheme="majorHAnsi" w:cstheme="majorHAnsi"/>
          <w:sz w:val="24"/>
          <w:szCs w:val="24"/>
        </w:rPr>
        <w:t>L’une des innovations de cette CDN est la prise en compte de la dimension genre à travers tous les secteurs concernés,  fondé  sur les facteurs suivants : (1) le changement climatique a des impacts différenciés sur les hommes et les femmes ; (2) les hommes et les femmes offrent des contributions différenciées et complémentaires dans le domaines de l’atténuation et l’adaptation, (3) les femmes et les hommes doivent a titre égal bénéficier des opportunités offertes par les programmes de lutte contre les changements climatiques au niveau pratique et stratégique (accès aux nouvelles technologies, aux nouveaux emplois verts etc.)</w:t>
      </w:r>
    </w:p>
    <w:p w14:paraId="7D342E21" w14:textId="77777777" w:rsidR="00C03EC4" w:rsidRPr="00A021BD" w:rsidRDefault="00C03EC4" w:rsidP="00C03EC4">
      <w:pPr>
        <w:spacing w:after="120" w:line="240" w:lineRule="auto"/>
        <w:jc w:val="both"/>
        <w:rPr>
          <w:rFonts w:cstheme="minorHAnsi"/>
          <w:bCs/>
          <w:sz w:val="24"/>
          <w:szCs w:val="24"/>
        </w:rPr>
      </w:pPr>
      <w:r>
        <w:rPr>
          <w:rFonts w:cstheme="minorHAnsi"/>
          <w:bCs/>
          <w:sz w:val="24"/>
          <w:szCs w:val="24"/>
        </w:rPr>
        <w:t>Les r</w:t>
      </w:r>
      <w:r w:rsidRPr="00A021BD">
        <w:rPr>
          <w:rFonts w:cstheme="minorHAnsi"/>
          <w:bCs/>
          <w:sz w:val="24"/>
          <w:szCs w:val="24"/>
        </w:rPr>
        <w:t>isques liés à l’élaboration et à la mise en œuvre de la CDN</w:t>
      </w:r>
    </w:p>
    <w:p w14:paraId="55DAB201"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L’élaboration de la CDN s’est effectuée surtout en 2020 sous la pression du COVID 19 et il a fallu intégrer le risque correspondant dans les différents contacts pour rechercher l’information, la traiter et concevoir les activités. Les réunions se sont déroulées avec les précautions d’usage et les vidéo-conférences ont été largement utilisées. Il faudra être attentif à l’évolution du risque sanitaire au cours de la mise en œuvre des actions.</w:t>
      </w:r>
    </w:p>
    <w:p w14:paraId="41EBC0AE" w14:textId="77777777" w:rsidR="00C03EC4" w:rsidRPr="002E75D4" w:rsidRDefault="00C03EC4" w:rsidP="00C03EC4">
      <w:pPr>
        <w:spacing w:after="0"/>
        <w:jc w:val="both"/>
        <w:rPr>
          <w:rFonts w:asciiTheme="majorHAnsi" w:hAnsiTheme="majorHAnsi" w:cstheme="majorHAnsi"/>
          <w:sz w:val="24"/>
          <w:szCs w:val="24"/>
        </w:rPr>
      </w:pPr>
      <w:r w:rsidRPr="002E75D4">
        <w:rPr>
          <w:rFonts w:asciiTheme="majorHAnsi" w:hAnsiTheme="majorHAnsi" w:cstheme="majorHAnsi"/>
          <w:sz w:val="24"/>
          <w:szCs w:val="24"/>
        </w:rPr>
        <w:t>La mise en œuvre de la CDN se fera notamment à travers la participation des régions, des cercles et des communes sur l’ensemble du territoire national. Sachant que les deux tiers de ce territoire est une zone d’insécurité et bien que les zones concernées soient souvent peu peuplées, il faudra insérer ce risque dans la préparation des actions.</w:t>
      </w:r>
    </w:p>
    <w:p w14:paraId="0C4BB7C5" w14:textId="77777777" w:rsidR="00C03EC4" w:rsidRDefault="00C03EC4" w:rsidP="00C03EC4">
      <w:pPr>
        <w:pStyle w:val="Style1"/>
        <w:ind w:left="0"/>
        <w:rPr>
          <w:sz w:val="34"/>
          <w:szCs w:val="34"/>
        </w:rPr>
      </w:pPr>
    </w:p>
    <w:p w14:paraId="4FD5AAE6" w14:textId="77777777" w:rsidR="00C03EC4" w:rsidRPr="00556BE5" w:rsidRDefault="00C03EC4" w:rsidP="00C03EC4">
      <w:pPr>
        <w:pStyle w:val="Style1"/>
        <w:ind w:left="0"/>
        <w:rPr>
          <w:sz w:val="34"/>
          <w:szCs w:val="34"/>
        </w:rPr>
      </w:pPr>
      <w:r>
        <w:rPr>
          <w:sz w:val="34"/>
          <w:szCs w:val="34"/>
        </w:rPr>
        <w:t xml:space="preserve">2.4 </w:t>
      </w:r>
      <w:r w:rsidRPr="00556BE5">
        <w:rPr>
          <w:sz w:val="34"/>
          <w:szCs w:val="34"/>
        </w:rPr>
        <w:t>CONTRAINTES ET LACUNES POUR LES INVENTAIRES DE GES</w:t>
      </w:r>
    </w:p>
    <w:p w14:paraId="530A2B72" w14:textId="77777777" w:rsidR="00C03EC4" w:rsidRPr="002E75D4" w:rsidRDefault="00C03EC4" w:rsidP="00C03EC4">
      <w:pPr>
        <w:spacing w:after="0" w:line="240" w:lineRule="auto"/>
        <w:jc w:val="both"/>
        <w:rPr>
          <w:rFonts w:asciiTheme="majorHAnsi" w:hAnsiTheme="majorHAnsi" w:cstheme="majorHAnsi"/>
          <w:sz w:val="24"/>
          <w:szCs w:val="24"/>
        </w:rPr>
      </w:pPr>
    </w:p>
    <w:p w14:paraId="483191D9"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Informer régulièrement et durablement la COP du meilleur état des émissions d'un pays est la clé de voûte de la prise de décision en matière de réduction des émissions de GES, en vue de stabiliser le niveau des GES dans l'atmosphère pour limiter le réchauffement climatique et ses impacts. Ainsi, toutes les parties signataires devraient être en mesure de le faire grâce à la réalisation d'inventaires de GES de bonne qualité sur une base durable. </w:t>
      </w:r>
    </w:p>
    <w:p w14:paraId="30B51F14"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Au Mali, l’AEDD a été mandatée pour l’élaboration des rapports des inventaires de GES. Cependant après trois communication nationales, l’agence fait toujours face à des contraintes. Une contrainte récurrente dans l'estimation des GES pour les secteurs du GIEC est le manque de données d'activité de bonne qualité. Les données disponibles ne sont pas suffisamment cohérentes dans tous les secteurs du GIEC. </w:t>
      </w:r>
    </w:p>
    <w:p w14:paraId="2F7615AA"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manque de cohérence des données d'activité et des informations sur les processus entraîne une forte dépendance à l'égard des sources de données internationales, des extrapolations et des avis d'experts pour générer les données d'activité manquantes et combler les lacunes lors de l'estimation des émissions et des puits de GES dans le pays. Cela augmente le niveau d'incertitude et empêche l'adoption des niveaux supérieurs plus précis, car il n'existe pas de facteurs d'émission nationaux plus adaptés aux circonstances nationales que les facteurs d'émission par défaut du GIEC. Le Mali ne dispose pas encore d'un système fonctionnel de gestion des inventaires de GES, avec des dispositions institutionnelles solides pour la production durable d'inventaires.</w:t>
      </w:r>
    </w:p>
    <w:p w14:paraId="6029D49A"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Bien que le Premier rapport biennal actualisé (BUR1) du Mali ait fait des efforts de collecte et d'archivage des données pour les statistiques nationales et à développer un réseau de points focaux, le système actuel doit être considérablement amélioré. La collecte de données servant au calcul des GES doit intégrer le système de collecte de données des ministères et les autres parties prenantes concernées par les domaines d'activité émetteurs de GES. L’AEDD devrait renforcer sa collaboration avec les systèmes de collecte de données déjà existant (SIFOR pour les forets les écosystèmes, SIE pour l’énergie) et renforcer son système de contrôle de la qualité des données d'activité afin d'en garantir la cohérence et la fiabilité. </w:t>
      </w:r>
    </w:p>
    <w:p w14:paraId="3FCDFA7A" w14:textId="77777777" w:rsidR="00C03EC4" w:rsidRPr="002E75D4" w:rsidRDefault="00C03EC4" w:rsidP="00C03EC4">
      <w:pPr>
        <w:spacing w:after="120" w:line="240" w:lineRule="auto"/>
        <w:jc w:val="both"/>
        <w:rPr>
          <w:rFonts w:asciiTheme="majorHAnsi" w:hAnsiTheme="majorHAnsi" w:cstheme="majorHAnsi"/>
          <w:sz w:val="24"/>
          <w:szCs w:val="24"/>
        </w:rPr>
      </w:pPr>
    </w:p>
    <w:p w14:paraId="5C0EEEB0"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anchor distT="0" distB="0" distL="114300" distR="114300" simplePos="0" relativeHeight="251678720" behindDoc="1" locked="0" layoutInCell="1" allowOverlap="1" wp14:anchorId="48EEF0EB" wp14:editId="119D3ED1">
            <wp:simplePos x="0" y="0"/>
            <wp:positionH relativeFrom="column">
              <wp:posOffset>-810177</wp:posOffset>
            </wp:positionH>
            <wp:positionV relativeFrom="paragraph">
              <wp:posOffset>-745726</wp:posOffset>
            </wp:positionV>
            <wp:extent cx="7840795" cy="19162288"/>
            <wp:effectExtent l="38100" t="25400" r="33655" b="2794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1089_vector-background-design-red.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43394" cy="19168640"/>
                    </a:xfrm>
                    <a:prstGeom prst="rect">
                      <a:avLst/>
                    </a:prstGeom>
                    <a:solidFill>
                      <a:srgbClr val="FFFFFF">
                        <a:shade val="85000"/>
                      </a:srgbClr>
                    </a:solidFill>
                    <a:ln w="190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14:paraId="43E7C402" w14:textId="77777777" w:rsidR="00C03EC4" w:rsidRPr="002E75D4" w:rsidRDefault="00C03EC4" w:rsidP="00C03EC4">
      <w:pPr>
        <w:spacing w:after="120" w:line="240" w:lineRule="auto"/>
        <w:jc w:val="both"/>
        <w:rPr>
          <w:rFonts w:asciiTheme="majorHAnsi" w:hAnsiTheme="majorHAnsi" w:cstheme="majorHAnsi"/>
          <w:sz w:val="24"/>
          <w:szCs w:val="24"/>
        </w:rPr>
      </w:pPr>
    </w:p>
    <w:p w14:paraId="2D57540C" w14:textId="77777777" w:rsidR="00C03EC4" w:rsidRPr="002E75D4" w:rsidRDefault="00C03EC4" w:rsidP="00C03EC4">
      <w:pPr>
        <w:spacing w:after="120" w:line="240" w:lineRule="auto"/>
        <w:jc w:val="both"/>
        <w:rPr>
          <w:rFonts w:asciiTheme="majorHAnsi" w:hAnsiTheme="majorHAnsi" w:cstheme="majorHAnsi"/>
          <w:sz w:val="24"/>
          <w:szCs w:val="24"/>
        </w:rPr>
      </w:pPr>
    </w:p>
    <w:p w14:paraId="0A40299A" w14:textId="77777777" w:rsidR="00C03EC4" w:rsidRPr="002E75D4" w:rsidRDefault="00C03EC4" w:rsidP="00C03EC4">
      <w:pPr>
        <w:spacing w:after="120" w:line="240" w:lineRule="auto"/>
        <w:jc w:val="both"/>
        <w:rPr>
          <w:rFonts w:asciiTheme="majorHAnsi" w:hAnsiTheme="majorHAnsi" w:cstheme="majorHAnsi"/>
          <w:sz w:val="24"/>
          <w:szCs w:val="24"/>
        </w:rPr>
      </w:pPr>
    </w:p>
    <w:p w14:paraId="5A88B93C" w14:textId="77777777" w:rsidR="00C03EC4" w:rsidRPr="002E75D4" w:rsidRDefault="00C03EC4" w:rsidP="00C03EC4">
      <w:pPr>
        <w:spacing w:after="120" w:line="240" w:lineRule="auto"/>
        <w:jc w:val="both"/>
        <w:rPr>
          <w:rFonts w:asciiTheme="majorHAnsi" w:hAnsiTheme="majorHAnsi" w:cstheme="majorHAnsi"/>
          <w:sz w:val="24"/>
          <w:szCs w:val="24"/>
        </w:rPr>
      </w:pPr>
    </w:p>
    <w:p w14:paraId="4A3706CB" w14:textId="77777777" w:rsidR="00C03EC4" w:rsidRPr="002E75D4" w:rsidRDefault="00C03EC4" w:rsidP="00C03EC4">
      <w:pPr>
        <w:spacing w:after="120" w:line="240" w:lineRule="auto"/>
        <w:jc w:val="both"/>
        <w:rPr>
          <w:rFonts w:asciiTheme="majorHAnsi" w:hAnsiTheme="majorHAnsi" w:cstheme="majorHAnsi"/>
          <w:sz w:val="24"/>
          <w:szCs w:val="24"/>
        </w:rPr>
      </w:pPr>
    </w:p>
    <w:p w14:paraId="3C0C64FA" w14:textId="77777777" w:rsidR="00C03EC4" w:rsidRPr="002E75D4" w:rsidRDefault="00C03EC4" w:rsidP="00C03EC4">
      <w:pPr>
        <w:spacing w:after="120" w:line="240" w:lineRule="auto"/>
        <w:jc w:val="both"/>
        <w:rPr>
          <w:rFonts w:asciiTheme="majorHAnsi" w:hAnsiTheme="majorHAnsi" w:cstheme="majorHAnsi"/>
          <w:sz w:val="24"/>
          <w:szCs w:val="24"/>
        </w:rPr>
      </w:pPr>
    </w:p>
    <w:p w14:paraId="428A8C62" w14:textId="77777777" w:rsidR="00C03EC4" w:rsidRPr="002E75D4" w:rsidRDefault="00C03EC4" w:rsidP="00C03EC4">
      <w:pPr>
        <w:spacing w:after="120" w:line="240" w:lineRule="auto"/>
        <w:jc w:val="both"/>
        <w:rPr>
          <w:rFonts w:asciiTheme="majorHAnsi" w:hAnsiTheme="majorHAnsi" w:cstheme="majorHAnsi"/>
          <w:sz w:val="24"/>
          <w:szCs w:val="24"/>
        </w:rPr>
      </w:pPr>
    </w:p>
    <w:p w14:paraId="583862F8" w14:textId="77777777" w:rsidR="00C03EC4" w:rsidRPr="002E75D4" w:rsidRDefault="00C03EC4" w:rsidP="00C03EC4">
      <w:pPr>
        <w:spacing w:after="120" w:line="240" w:lineRule="auto"/>
        <w:jc w:val="both"/>
        <w:rPr>
          <w:rFonts w:asciiTheme="majorHAnsi" w:hAnsiTheme="majorHAnsi" w:cstheme="majorHAnsi"/>
          <w:sz w:val="24"/>
          <w:szCs w:val="24"/>
        </w:rPr>
      </w:pPr>
    </w:p>
    <w:p w14:paraId="063995FF" w14:textId="77777777" w:rsidR="00C03EC4" w:rsidRPr="002E75D4" w:rsidRDefault="00C03EC4" w:rsidP="00C03EC4">
      <w:pPr>
        <w:spacing w:after="120" w:line="240" w:lineRule="auto"/>
        <w:jc w:val="both"/>
        <w:rPr>
          <w:rFonts w:asciiTheme="majorHAnsi" w:hAnsiTheme="majorHAnsi" w:cstheme="majorHAnsi"/>
          <w:sz w:val="24"/>
          <w:szCs w:val="24"/>
        </w:rPr>
      </w:pPr>
    </w:p>
    <w:p w14:paraId="6A3BF934" w14:textId="77777777" w:rsidR="00C03EC4" w:rsidRPr="00F24A9E" w:rsidRDefault="00C03EC4" w:rsidP="00C03EC4">
      <w:pPr>
        <w:spacing w:line="240" w:lineRule="auto"/>
        <w:rPr>
          <w:b/>
          <w:sz w:val="120"/>
          <w:szCs w:val="120"/>
        </w:rPr>
      </w:pPr>
      <w:r w:rsidRPr="00F24A9E">
        <w:rPr>
          <w:b/>
          <w:sz w:val="120"/>
          <w:szCs w:val="120"/>
        </w:rPr>
        <w:t xml:space="preserve">CHAPITRE III </w:t>
      </w:r>
    </w:p>
    <w:p w14:paraId="19D4281E" w14:textId="77777777" w:rsidR="00C03EC4" w:rsidRPr="00F24A9E" w:rsidRDefault="00C03EC4" w:rsidP="00C03EC4">
      <w:pPr>
        <w:spacing w:line="240" w:lineRule="auto"/>
        <w:rPr>
          <w:b/>
          <w:sz w:val="40"/>
          <w:szCs w:val="40"/>
        </w:rPr>
      </w:pPr>
      <w:r w:rsidRPr="00F24A9E">
        <w:rPr>
          <w:b/>
          <w:bCs/>
          <w:sz w:val="40"/>
          <w:szCs w:val="40"/>
        </w:rPr>
        <w:t>ATTENUATION ET PREVISIONS DES EMISSIONS DE GES</w:t>
      </w:r>
    </w:p>
    <w:p w14:paraId="7B13D3C6" w14:textId="77777777" w:rsidR="00C03EC4" w:rsidRPr="00A021BD" w:rsidRDefault="00C03EC4" w:rsidP="00C03EC4">
      <w:pPr>
        <w:pStyle w:val="StylenormalENABEL"/>
        <w:rPr>
          <w:b/>
          <w:bCs/>
          <w:sz w:val="38"/>
          <w:szCs w:val="38"/>
        </w:rPr>
      </w:pPr>
    </w:p>
    <w:p w14:paraId="42B03AB5" w14:textId="77777777" w:rsidR="00C03EC4" w:rsidRPr="002E75D4" w:rsidRDefault="00C03EC4" w:rsidP="00C03EC4">
      <w:pPr>
        <w:pStyle w:val="StylenormalENABEL"/>
        <w:rPr>
          <w:sz w:val="20"/>
        </w:rPr>
      </w:pPr>
    </w:p>
    <w:p w14:paraId="7DC8FB41" w14:textId="77777777" w:rsidR="00C03EC4" w:rsidRPr="002E75D4" w:rsidRDefault="00C03EC4" w:rsidP="00C03EC4">
      <w:pPr>
        <w:pStyle w:val="StylenormalENABEL"/>
        <w:rPr>
          <w:sz w:val="20"/>
        </w:rPr>
      </w:pPr>
    </w:p>
    <w:p w14:paraId="225BF416" w14:textId="77777777" w:rsidR="00C03EC4" w:rsidRPr="002E75D4" w:rsidRDefault="00C03EC4" w:rsidP="00C03EC4">
      <w:pPr>
        <w:pStyle w:val="StylenormalENABEL"/>
        <w:rPr>
          <w:sz w:val="20"/>
        </w:rPr>
      </w:pPr>
    </w:p>
    <w:p w14:paraId="3CAFB30E" w14:textId="77777777" w:rsidR="00C03EC4" w:rsidRPr="002E75D4" w:rsidRDefault="00C03EC4" w:rsidP="00C03EC4">
      <w:pPr>
        <w:pStyle w:val="StylenormalENABEL"/>
        <w:rPr>
          <w:sz w:val="20"/>
        </w:rPr>
      </w:pPr>
    </w:p>
    <w:p w14:paraId="3B74E95E" w14:textId="77777777" w:rsidR="00C03EC4" w:rsidRPr="002E75D4" w:rsidRDefault="00C03EC4" w:rsidP="00C03EC4">
      <w:pPr>
        <w:pStyle w:val="StylenormalENABEL"/>
        <w:rPr>
          <w:sz w:val="20"/>
        </w:rPr>
      </w:pPr>
    </w:p>
    <w:p w14:paraId="0F29875B" w14:textId="77777777" w:rsidR="00C03EC4" w:rsidRPr="002E75D4" w:rsidRDefault="00C03EC4" w:rsidP="00C03EC4">
      <w:pPr>
        <w:pStyle w:val="StylenormalENABEL"/>
      </w:pPr>
    </w:p>
    <w:p w14:paraId="473A571F" w14:textId="77777777" w:rsidR="00C03EC4" w:rsidRPr="002E75D4" w:rsidRDefault="00C03EC4" w:rsidP="00C03EC4">
      <w:pPr>
        <w:pStyle w:val="StylenormalENABEL"/>
        <w:rPr>
          <w:sz w:val="20"/>
        </w:rPr>
      </w:pPr>
    </w:p>
    <w:p w14:paraId="242D086B" w14:textId="77777777" w:rsidR="00C03EC4" w:rsidRPr="002E75D4" w:rsidRDefault="00C03EC4" w:rsidP="00C03EC4">
      <w:pPr>
        <w:pStyle w:val="StylenormalENABEL"/>
        <w:rPr>
          <w:sz w:val="20"/>
        </w:rPr>
      </w:pPr>
    </w:p>
    <w:p w14:paraId="6EA8C7A3" w14:textId="77777777" w:rsidR="00C03EC4" w:rsidRPr="002E75D4" w:rsidRDefault="00C03EC4" w:rsidP="00C03EC4">
      <w:pPr>
        <w:pStyle w:val="StylenormalENABEL"/>
        <w:rPr>
          <w:sz w:val="20"/>
        </w:rPr>
      </w:pPr>
    </w:p>
    <w:p w14:paraId="5BFF9F17" w14:textId="77777777" w:rsidR="00C03EC4" w:rsidRPr="002E75D4" w:rsidRDefault="00C03EC4" w:rsidP="00C03EC4">
      <w:pPr>
        <w:pStyle w:val="StylenormalENABEL"/>
        <w:rPr>
          <w:sz w:val="20"/>
        </w:rPr>
      </w:pPr>
    </w:p>
    <w:p w14:paraId="78871E54" w14:textId="77777777" w:rsidR="00C03EC4" w:rsidRPr="002E75D4" w:rsidRDefault="00C03EC4" w:rsidP="00C03EC4">
      <w:pPr>
        <w:pStyle w:val="StylenormalENABEL"/>
        <w:rPr>
          <w:sz w:val="20"/>
        </w:rPr>
      </w:pPr>
    </w:p>
    <w:p w14:paraId="72A368B6" w14:textId="77777777" w:rsidR="00C03EC4" w:rsidRPr="002E75D4" w:rsidRDefault="00C03EC4" w:rsidP="00C03EC4">
      <w:pPr>
        <w:pStyle w:val="StylenormalENABEL"/>
        <w:rPr>
          <w:sz w:val="20"/>
        </w:rPr>
      </w:pPr>
    </w:p>
    <w:p w14:paraId="01F4F30D" w14:textId="77777777" w:rsidR="00C03EC4" w:rsidRPr="002E75D4" w:rsidRDefault="00C03EC4" w:rsidP="00C03EC4">
      <w:pPr>
        <w:pStyle w:val="StylenormalENABEL"/>
        <w:rPr>
          <w:sz w:val="20"/>
        </w:rPr>
      </w:pPr>
    </w:p>
    <w:p w14:paraId="2D1CE09D" w14:textId="77777777" w:rsidR="00C03EC4" w:rsidRDefault="00C03EC4" w:rsidP="00C03EC4">
      <w:pPr>
        <w:pStyle w:val="StylenormalENABEL"/>
        <w:rPr>
          <w:sz w:val="20"/>
        </w:rPr>
      </w:pPr>
    </w:p>
    <w:p w14:paraId="47E1A4EE" w14:textId="77777777" w:rsidR="00C03EC4" w:rsidRDefault="00C03EC4" w:rsidP="00C03EC4">
      <w:pPr>
        <w:pStyle w:val="StylenormalENABEL"/>
        <w:rPr>
          <w:sz w:val="20"/>
        </w:rPr>
      </w:pPr>
    </w:p>
    <w:p w14:paraId="36810A4A" w14:textId="77777777" w:rsidR="00C03EC4" w:rsidRPr="002E75D4" w:rsidRDefault="00C03EC4" w:rsidP="00C03EC4">
      <w:pPr>
        <w:pStyle w:val="StylenormalENABEL"/>
        <w:rPr>
          <w:sz w:val="20"/>
        </w:rPr>
      </w:pPr>
    </w:p>
    <w:p w14:paraId="0F748BD5" w14:textId="77777777" w:rsidR="00C03EC4" w:rsidRPr="002E75D4" w:rsidRDefault="00C03EC4" w:rsidP="00C03EC4">
      <w:pPr>
        <w:pStyle w:val="StylenormalENABEL"/>
        <w:rPr>
          <w:sz w:val="20"/>
        </w:rPr>
      </w:pPr>
    </w:p>
    <w:p w14:paraId="052520C8" w14:textId="77777777" w:rsidR="00C03EC4" w:rsidRPr="002E75D4" w:rsidRDefault="00C03EC4" w:rsidP="00C03EC4">
      <w:pPr>
        <w:pStyle w:val="StylenormalENABEL"/>
        <w:rPr>
          <w:sz w:val="20"/>
        </w:rPr>
      </w:pPr>
    </w:p>
    <w:p w14:paraId="7C67472F" w14:textId="77777777" w:rsidR="00C03EC4" w:rsidRPr="002E75D4" w:rsidRDefault="00C03EC4" w:rsidP="00C03EC4">
      <w:pPr>
        <w:pStyle w:val="StylenormalENABEL"/>
        <w:rPr>
          <w:sz w:val="20"/>
        </w:rPr>
      </w:pPr>
    </w:p>
    <w:p w14:paraId="2122CE90" w14:textId="77777777" w:rsidR="00C03EC4" w:rsidRPr="002E75D4" w:rsidRDefault="00C03EC4" w:rsidP="00C03EC4">
      <w:pPr>
        <w:pStyle w:val="StylenormalENABEL"/>
        <w:rPr>
          <w:sz w:val="20"/>
        </w:rPr>
      </w:pPr>
    </w:p>
    <w:p w14:paraId="4F5B20C9" w14:textId="77777777" w:rsidR="00C03EC4" w:rsidRDefault="00C03EC4" w:rsidP="00C03EC4">
      <w:pPr>
        <w:shd w:val="clear" w:color="auto" w:fill="FFFFFF" w:themeFill="background1"/>
        <w:spacing w:after="0" w:line="240" w:lineRule="auto"/>
        <w:jc w:val="both"/>
        <w:rPr>
          <w:rFonts w:asciiTheme="majorHAnsi" w:hAnsiTheme="majorHAnsi" w:cstheme="majorHAnsi"/>
          <w:b/>
          <w:sz w:val="34"/>
          <w:szCs w:val="34"/>
        </w:rPr>
      </w:pPr>
    </w:p>
    <w:p w14:paraId="76059AE1" w14:textId="77777777" w:rsidR="00C03EC4" w:rsidRDefault="00C03EC4" w:rsidP="00C03EC4">
      <w:pPr>
        <w:shd w:val="clear" w:color="auto" w:fill="FFFFFF" w:themeFill="background1"/>
        <w:spacing w:after="0" w:line="240" w:lineRule="auto"/>
        <w:jc w:val="both"/>
        <w:rPr>
          <w:rFonts w:asciiTheme="majorHAnsi" w:hAnsiTheme="majorHAnsi" w:cstheme="majorHAnsi"/>
          <w:b/>
          <w:sz w:val="34"/>
          <w:szCs w:val="34"/>
        </w:rPr>
      </w:pPr>
    </w:p>
    <w:p w14:paraId="50139E1A" w14:textId="77777777" w:rsidR="00C03EC4" w:rsidRDefault="00C03EC4" w:rsidP="00C03EC4">
      <w:pPr>
        <w:shd w:val="clear" w:color="auto" w:fill="FFFFFF" w:themeFill="background1"/>
        <w:spacing w:after="0" w:line="240" w:lineRule="auto"/>
        <w:jc w:val="both"/>
        <w:rPr>
          <w:rFonts w:asciiTheme="majorHAnsi" w:hAnsiTheme="majorHAnsi" w:cstheme="majorHAnsi"/>
          <w:b/>
          <w:sz w:val="34"/>
          <w:szCs w:val="34"/>
        </w:rPr>
      </w:pPr>
    </w:p>
    <w:p w14:paraId="1BA528BC" w14:textId="77777777" w:rsidR="00C03EC4" w:rsidRDefault="00C03EC4" w:rsidP="00C03EC4">
      <w:pPr>
        <w:shd w:val="clear" w:color="auto" w:fill="FFFFFF" w:themeFill="background1"/>
        <w:spacing w:after="0" w:line="240" w:lineRule="auto"/>
        <w:jc w:val="both"/>
        <w:rPr>
          <w:rFonts w:asciiTheme="majorHAnsi" w:hAnsiTheme="majorHAnsi" w:cstheme="majorHAnsi"/>
          <w:b/>
          <w:sz w:val="34"/>
          <w:szCs w:val="34"/>
        </w:rPr>
      </w:pPr>
    </w:p>
    <w:p w14:paraId="2A186D3E" w14:textId="77777777" w:rsidR="00C03EC4" w:rsidRDefault="00C03EC4" w:rsidP="00C03EC4">
      <w:pPr>
        <w:shd w:val="clear" w:color="auto" w:fill="FFFFFF" w:themeFill="background1"/>
        <w:spacing w:after="0" w:line="240" w:lineRule="auto"/>
        <w:jc w:val="both"/>
        <w:rPr>
          <w:rFonts w:asciiTheme="majorHAnsi" w:hAnsiTheme="majorHAnsi" w:cstheme="majorHAnsi"/>
          <w:b/>
          <w:sz w:val="34"/>
          <w:szCs w:val="34"/>
        </w:rPr>
      </w:pPr>
    </w:p>
    <w:p w14:paraId="0623BF2A" w14:textId="77777777" w:rsidR="00C03EC4" w:rsidRPr="00A021BD" w:rsidRDefault="00C03EC4" w:rsidP="00C03EC4">
      <w:pPr>
        <w:shd w:val="clear" w:color="auto" w:fill="FFFFFF" w:themeFill="background1"/>
        <w:spacing w:after="0" w:line="240" w:lineRule="auto"/>
        <w:jc w:val="both"/>
        <w:rPr>
          <w:rFonts w:asciiTheme="majorHAnsi" w:hAnsiTheme="majorHAnsi" w:cstheme="majorHAnsi"/>
          <w:b/>
          <w:sz w:val="34"/>
          <w:szCs w:val="34"/>
        </w:rPr>
      </w:pPr>
      <w:r w:rsidRPr="00A021BD">
        <w:rPr>
          <w:rFonts w:asciiTheme="majorHAnsi" w:hAnsiTheme="majorHAnsi" w:cstheme="majorHAnsi"/>
          <w:b/>
          <w:sz w:val="34"/>
          <w:szCs w:val="34"/>
        </w:rPr>
        <w:t>3.1. CARACTERISATION DES SECTEURS ET BILAN DES EMISSIONS DE LA PERIODE DE REFERENCE 2015-2019</w:t>
      </w:r>
    </w:p>
    <w:p w14:paraId="2469675B" w14:textId="77777777" w:rsidR="00C03EC4" w:rsidRPr="002E75D4" w:rsidRDefault="00C03EC4" w:rsidP="00C03EC4">
      <w:pPr>
        <w:shd w:val="clear" w:color="auto" w:fill="FFFFFF" w:themeFill="background1"/>
        <w:spacing w:after="0" w:line="240" w:lineRule="auto"/>
        <w:jc w:val="both"/>
        <w:rPr>
          <w:rFonts w:asciiTheme="majorHAnsi" w:hAnsiTheme="majorHAnsi" w:cstheme="majorHAnsi"/>
          <w:b/>
          <w:sz w:val="30"/>
          <w:szCs w:val="30"/>
        </w:rPr>
      </w:pPr>
    </w:p>
    <w:p w14:paraId="7AAED144" w14:textId="77777777" w:rsidR="00C03EC4" w:rsidRPr="002E75D4" w:rsidRDefault="00C03EC4" w:rsidP="00C03EC4">
      <w:pPr>
        <w:pStyle w:val="Paragraphedeliste"/>
        <w:numPr>
          <w:ilvl w:val="2"/>
          <w:numId w:val="18"/>
        </w:numPr>
        <w:shd w:val="clear" w:color="auto" w:fill="FFFFFF" w:themeFill="background1"/>
        <w:spacing w:after="0" w:line="240" w:lineRule="auto"/>
        <w:jc w:val="both"/>
        <w:rPr>
          <w:rFonts w:asciiTheme="majorHAnsi" w:hAnsiTheme="majorHAnsi" w:cstheme="majorHAnsi"/>
          <w:b/>
          <w:sz w:val="30"/>
          <w:szCs w:val="30"/>
        </w:rPr>
      </w:pPr>
      <w:r w:rsidRPr="002E75D4">
        <w:rPr>
          <w:rFonts w:asciiTheme="majorHAnsi" w:hAnsiTheme="majorHAnsi" w:cstheme="majorHAnsi"/>
          <w:b/>
          <w:sz w:val="30"/>
          <w:szCs w:val="30"/>
        </w:rPr>
        <w:t>S</w:t>
      </w:r>
      <w:r>
        <w:rPr>
          <w:rFonts w:asciiTheme="majorHAnsi" w:hAnsiTheme="majorHAnsi" w:cstheme="majorHAnsi"/>
          <w:b/>
          <w:sz w:val="30"/>
          <w:szCs w:val="30"/>
        </w:rPr>
        <w:t>ecteur de l’énergie</w:t>
      </w:r>
    </w:p>
    <w:p w14:paraId="1F9F1B49" w14:textId="77777777" w:rsidR="00C03EC4" w:rsidRDefault="00C03EC4" w:rsidP="00C03EC4">
      <w:pPr>
        <w:pStyle w:val="Style1"/>
        <w:ind w:left="0"/>
        <w:rPr>
          <w:sz w:val="24"/>
          <w:szCs w:val="24"/>
        </w:rPr>
      </w:pPr>
    </w:p>
    <w:p w14:paraId="35E6837B" w14:textId="77777777" w:rsidR="00C03EC4" w:rsidRPr="00F24A9E" w:rsidRDefault="00C03EC4" w:rsidP="00C03EC4">
      <w:pPr>
        <w:pStyle w:val="Style1"/>
        <w:ind w:left="0"/>
        <w:rPr>
          <w:sz w:val="24"/>
          <w:szCs w:val="24"/>
        </w:rPr>
      </w:pPr>
      <w:r w:rsidRPr="00F24A9E">
        <w:rPr>
          <w:sz w:val="24"/>
          <w:szCs w:val="24"/>
        </w:rPr>
        <w:t>Caractéristiques du secteur de l’énergie</w:t>
      </w:r>
    </w:p>
    <w:p w14:paraId="674ED5DB" w14:textId="77777777" w:rsidR="00C03EC4" w:rsidRPr="00A021BD" w:rsidRDefault="00C03EC4" w:rsidP="00C03EC4">
      <w:pPr>
        <w:pStyle w:val="BodyText21"/>
        <w:shd w:val="pct25" w:color="FFFFFF" w:fill="FFFFFF"/>
        <w:tabs>
          <w:tab w:val="left" w:pos="6096"/>
        </w:tabs>
        <w:spacing w:before="120" w:after="120"/>
        <w:rPr>
          <w:rFonts w:asciiTheme="majorHAnsi" w:hAnsiTheme="majorHAnsi" w:cstheme="majorHAnsi"/>
          <w:b w:val="0"/>
          <w:sz w:val="24"/>
          <w:szCs w:val="24"/>
          <w:lang w:val="fr-ML"/>
        </w:rPr>
      </w:pPr>
      <w:r w:rsidRPr="00A021BD">
        <w:rPr>
          <w:rFonts w:asciiTheme="majorHAnsi" w:hAnsiTheme="majorHAnsi" w:cstheme="majorHAnsi"/>
          <w:b w:val="0"/>
          <w:sz w:val="24"/>
          <w:szCs w:val="24"/>
          <w:lang w:val="fr-ML"/>
        </w:rPr>
        <w:t>Le Mali dispose de potentiels d’énergies renouvelables significatifs dont :</w:t>
      </w:r>
    </w:p>
    <w:p w14:paraId="566F1A09" w14:textId="77777777" w:rsidR="00C03EC4" w:rsidRPr="002E75D4" w:rsidRDefault="00C03EC4" w:rsidP="00C03EC4">
      <w:pPr>
        <w:pStyle w:val="BodyText21"/>
        <w:numPr>
          <w:ilvl w:val="0"/>
          <w:numId w:val="4"/>
        </w:numPr>
        <w:shd w:val="pct25" w:color="FFFFFF" w:fill="FFFFFF"/>
        <w:tabs>
          <w:tab w:val="left" w:pos="6096"/>
        </w:tabs>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l’énergie solaire : 6 Kwh/m2 (7 à 10 heures d’ensoleillement par jour) ;</w:t>
      </w:r>
    </w:p>
    <w:p w14:paraId="7F469F30" w14:textId="77777777" w:rsidR="00C03EC4" w:rsidRPr="002E75D4" w:rsidRDefault="00C03EC4" w:rsidP="00C03EC4">
      <w:pPr>
        <w:pStyle w:val="BodyText21"/>
        <w:numPr>
          <w:ilvl w:val="0"/>
          <w:numId w:val="4"/>
        </w:numPr>
        <w:shd w:val="pct25" w:color="FFFFFF" w:fill="FFFFFF"/>
        <w:tabs>
          <w:tab w:val="left" w:pos="6096"/>
        </w:tabs>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la biomasse : 2000 ha de plantations de jatropha, 1.400.000l d’alcool à partir de la canne à sucre ;</w:t>
      </w:r>
    </w:p>
    <w:p w14:paraId="5355DF0F" w14:textId="77777777" w:rsidR="00C03EC4" w:rsidRPr="002E75D4" w:rsidRDefault="00C03EC4" w:rsidP="00C03EC4">
      <w:pPr>
        <w:pStyle w:val="BodyText21"/>
        <w:numPr>
          <w:ilvl w:val="0"/>
          <w:numId w:val="4"/>
        </w:numPr>
        <w:shd w:val="pct25" w:color="FFFFFF" w:fill="FFFFFF"/>
        <w:tabs>
          <w:tab w:val="left" w:pos="6096"/>
        </w:tabs>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l’hydraulique : 1150 MW (seulement 22% exploités) ;</w:t>
      </w:r>
    </w:p>
    <w:p w14:paraId="205B2E93" w14:textId="77777777" w:rsidR="00C03EC4" w:rsidRPr="002E75D4" w:rsidRDefault="00C03EC4" w:rsidP="00C03EC4">
      <w:pPr>
        <w:pStyle w:val="BodyText21"/>
        <w:numPr>
          <w:ilvl w:val="0"/>
          <w:numId w:val="4"/>
        </w:numPr>
        <w:shd w:val="pct25" w:color="FFFFFF" w:fill="FFFFFF"/>
        <w:tabs>
          <w:tab w:val="left" w:pos="6096"/>
        </w:tabs>
        <w:spacing w:after="120"/>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l’éolien : 3 à 7 m/s.</w:t>
      </w:r>
    </w:p>
    <w:p w14:paraId="651674FF" w14:textId="77777777" w:rsidR="00C03EC4" w:rsidRPr="002E75D4" w:rsidRDefault="00C03EC4" w:rsidP="00C03EC4">
      <w:pPr>
        <w:pStyle w:val="BodyText21"/>
        <w:shd w:val="pct25" w:color="FFFFFF" w:fill="FFFFFF"/>
        <w:tabs>
          <w:tab w:val="left" w:pos="6096"/>
        </w:tabs>
        <w:spacing w:before="120" w:after="120"/>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Malgré ce potentiel, le secteur énergétique est peu performant au regard de ses principaux indicateurs notamment :</w:t>
      </w:r>
    </w:p>
    <w:p w14:paraId="2993524D" w14:textId="77777777" w:rsidR="00C03EC4" w:rsidRPr="002E75D4" w:rsidRDefault="00C03EC4" w:rsidP="00C03EC4">
      <w:pPr>
        <w:pStyle w:val="BodyText21"/>
        <w:numPr>
          <w:ilvl w:val="0"/>
          <w:numId w:val="30"/>
        </w:numPr>
        <w:shd w:val="pct25" w:color="FFFFFF" w:fill="FFFFFF"/>
        <w:tabs>
          <w:tab w:val="left" w:pos="6096"/>
        </w:tabs>
        <w:spacing w:after="120"/>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 xml:space="preserve">un bilan énergétique dominé par le bois énergie (bois de chauffe et charbon de bois) à hauteur de 75%, se traduisant par une forte pression sur les massifs forestiers nationaux ; </w:t>
      </w:r>
    </w:p>
    <w:p w14:paraId="13C90A86" w14:textId="77777777" w:rsidR="00C03EC4" w:rsidRPr="002E75D4" w:rsidRDefault="00C03EC4" w:rsidP="00C03EC4">
      <w:pPr>
        <w:pStyle w:val="BodyText21"/>
        <w:numPr>
          <w:ilvl w:val="0"/>
          <w:numId w:val="30"/>
        </w:numPr>
        <w:shd w:val="pct25" w:color="FFFFFF" w:fill="FFFFFF"/>
        <w:tabs>
          <w:tab w:val="left" w:pos="6096"/>
        </w:tabs>
        <w:spacing w:after="120"/>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un taux de dépendance à l’importation des produits pétroliers de 100% ;</w:t>
      </w:r>
    </w:p>
    <w:p w14:paraId="22A57326" w14:textId="77777777" w:rsidR="00C03EC4" w:rsidRPr="002E75D4" w:rsidRDefault="00C03EC4" w:rsidP="00C03EC4">
      <w:pPr>
        <w:pStyle w:val="BodyText21"/>
        <w:numPr>
          <w:ilvl w:val="0"/>
          <w:numId w:val="30"/>
        </w:numPr>
        <w:shd w:val="pct25" w:color="FFFFFF" w:fill="FFFFFF"/>
        <w:tabs>
          <w:tab w:val="left" w:pos="6096"/>
        </w:tabs>
        <w:spacing w:after="120"/>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une faible consommation d’énergie finale : 0,3 tep/hbt (0,45 pour la zone CEDEAO ; 0,5 pour l’Afrique) en 2018 ;</w:t>
      </w:r>
    </w:p>
    <w:p w14:paraId="403F42AF" w14:textId="77777777" w:rsidR="00C03EC4" w:rsidRPr="002E75D4" w:rsidRDefault="00C03EC4" w:rsidP="00C03EC4">
      <w:pPr>
        <w:pStyle w:val="BodyText21"/>
        <w:numPr>
          <w:ilvl w:val="0"/>
          <w:numId w:val="30"/>
        </w:numPr>
        <w:shd w:val="pct25" w:color="FFFFFF" w:fill="FFFFFF"/>
        <w:tabs>
          <w:tab w:val="left" w:pos="6096"/>
        </w:tabs>
        <w:spacing w:after="120"/>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une faible consommation électrique : 159 Kwh/hbt ;</w:t>
      </w:r>
    </w:p>
    <w:p w14:paraId="55EE1129" w14:textId="77777777" w:rsidR="00C03EC4" w:rsidRPr="002E75D4" w:rsidRDefault="00C03EC4" w:rsidP="00C03EC4">
      <w:pPr>
        <w:pStyle w:val="BodyText21"/>
        <w:numPr>
          <w:ilvl w:val="0"/>
          <w:numId w:val="30"/>
        </w:numPr>
        <w:shd w:val="pct25" w:color="FFFFFF" w:fill="FFFFFF"/>
        <w:tabs>
          <w:tab w:val="left" w:pos="6096"/>
        </w:tabs>
        <w:spacing w:after="120"/>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un taux d’électrification bas : 48% national (93% urbain, 25% rural) en 2018 ;</w:t>
      </w:r>
    </w:p>
    <w:p w14:paraId="291526B7" w14:textId="77777777" w:rsidR="00C03EC4" w:rsidRPr="002E75D4" w:rsidRDefault="00C03EC4" w:rsidP="00C03EC4">
      <w:pPr>
        <w:pStyle w:val="BodyText21"/>
        <w:numPr>
          <w:ilvl w:val="0"/>
          <w:numId w:val="30"/>
        </w:numPr>
        <w:shd w:val="pct25" w:color="FFFFFF" w:fill="FFFFFF"/>
        <w:tabs>
          <w:tab w:val="left" w:pos="6096"/>
        </w:tabs>
        <w:spacing w:after="120"/>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une croissance de demande d’électricité : 10% annuel ;</w:t>
      </w:r>
    </w:p>
    <w:p w14:paraId="2B7B05A3" w14:textId="77777777" w:rsidR="00C03EC4" w:rsidRPr="002E75D4" w:rsidRDefault="00C03EC4" w:rsidP="00C03EC4">
      <w:pPr>
        <w:pStyle w:val="BodyText21"/>
        <w:numPr>
          <w:ilvl w:val="0"/>
          <w:numId w:val="30"/>
        </w:numPr>
        <w:shd w:val="pct25" w:color="FFFFFF" w:fill="FFFFFF"/>
        <w:tabs>
          <w:tab w:val="left" w:pos="6096"/>
        </w:tabs>
        <w:spacing w:after="120"/>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une faible intégration des énergies renouvelables dans la production d’électricité : 13%</w:t>
      </w:r>
    </w:p>
    <w:p w14:paraId="2993F8CF" w14:textId="77777777" w:rsidR="00C03EC4" w:rsidRPr="002E75D4" w:rsidRDefault="00C03EC4" w:rsidP="00C03EC4">
      <w:pPr>
        <w:pStyle w:val="BodyText21"/>
        <w:shd w:val="pct25" w:color="FFFFFF" w:fill="FFFFFF"/>
        <w:tabs>
          <w:tab w:val="left" w:pos="6096"/>
        </w:tabs>
        <w:spacing w:after="120"/>
        <w:ind w:left="69"/>
        <w:rPr>
          <w:rFonts w:asciiTheme="majorHAnsi" w:hAnsiTheme="majorHAnsi" w:cstheme="majorHAnsi"/>
          <w:b w:val="0"/>
          <w:bCs w:val="0"/>
          <w:sz w:val="24"/>
          <w:szCs w:val="24"/>
          <w:lang w:val="fr-ML"/>
        </w:rPr>
      </w:pPr>
      <w:r w:rsidRPr="002E75D4">
        <w:rPr>
          <w:rFonts w:asciiTheme="majorHAnsi" w:hAnsiTheme="majorHAnsi" w:cstheme="majorHAnsi"/>
          <w:b w:val="0"/>
          <w:bCs w:val="0"/>
          <w:sz w:val="24"/>
          <w:szCs w:val="24"/>
          <w:lang w:val="fr-ML"/>
        </w:rPr>
        <w:t>La structure de la consommation d’énergie finale par source est illustrée par la figure suivante.</w:t>
      </w:r>
    </w:p>
    <w:p w14:paraId="2CBCF8B0" w14:textId="77777777" w:rsidR="00C03EC4" w:rsidRPr="002E75D4" w:rsidRDefault="00C03EC4" w:rsidP="00C03EC4">
      <w:pPr>
        <w:pStyle w:val="Lgende"/>
        <w:rPr>
          <w:rStyle w:val="Accentuation"/>
          <w:rFonts w:asciiTheme="majorHAnsi" w:hAnsiTheme="majorHAnsi" w:cstheme="majorHAnsi"/>
          <w:i w:val="0"/>
          <w:iCs w:val="0"/>
          <w:sz w:val="16"/>
        </w:rPr>
      </w:pPr>
    </w:p>
    <w:p w14:paraId="689D4975" w14:textId="77777777" w:rsidR="00C03EC4" w:rsidRPr="002E75D4" w:rsidRDefault="00C03EC4" w:rsidP="00C03EC4">
      <w:pPr>
        <w:pStyle w:val="Style1"/>
        <w:rPr>
          <w:rStyle w:val="Accentuation"/>
          <w:b/>
          <w:bCs w:val="0"/>
          <w:i w:val="0"/>
          <w:sz w:val="22"/>
        </w:rPr>
      </w:pPr>
      <w:r w:rsidRPr="002E75D4">
        <w:rPr>
          <w:rStyle w:val="Accentuation"/>
          <w:i w:val="0"/>
          <w:iCs/>
          <w:noProof/>
          <w:sz w:val="16"/>
        </w:rPr>
        <w:drawing>
          <wp:anchor distT="0" distB="0" distL="114300" distR="114300" simplePos="0" relativeHeight="251660288" behindDoc="0" locked="0" layoutInCell="1" allowOverlap="1" wp14:anchorId="587F8A6D" wp14:editId="2FEE61C6">
            <wp:simplePos x="0" y="0"/>
            <wp:positionH relativeFrom="column">
              <wp:posOffset>815975</wp:posOffset>
            </wp:positionH>
            <wp:positionV relativeFrom="paragraph">
              <wp:posOffset>34290</wp:posOffset>
            </wp:positionV>
            <wp:extent cx="4400550" cy="1664335"/>
            <wp:effectExtent l="0" t="0" r="0" b="0"/>
            <wp:wrapSquare wrapText="bothSides"/>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2E75D4">
        <w:br w:type="textWrapping" w:clear="all"/>
      </w:r>
    </w:p>
    <w:p w14:paraId="7517FF51" w14:textId="77777777" w:rsidR="00C03EC4" w:rsidRPr="002E75D4" w:rsidRDefault="00C03EC4" w:rsidP="00C03EC4">
      <w:pPr>
        <w:pStyle w:val="Style1"/>
        <w:rPr>
          <w:rStyle w:val="Accentuation"/>
          <w:bCs w:val="0"/>
          <w:i w:val="0"/>
          <w:sz w:val="20"/>
          <w:szCs w:val="20"/>
        </w:rPr>
      </w:pPr>
      <w:r>
        <w:rPr>
          <w:rStyle w:val="Accentuation"/>
          <w:b/>
          <w:bCs w:val="0"/>
          <w:i w:val="0"/>
        </w:rPr>
        <w:t xml:space="preserve">      </w:t>
      </w:r>
      <w:r w:rsidRPr="00EA7465">
        <w:rPr>
          <w:rStyle w:val="Accentuation"/>
          <w:b/>
          <w:bCs w:val="0"/>
          <w:i w:val="0"/>
          <w:sz w:val="20"/>
          <w:szCs w:val="20"/>
          <w:u w:val="single"/>
        </w:rPr>
        <w:t>Figure 4</w:t>
      </w:r>
      <w:r w:rsidRPr="002E75D4">
        <w:rPr>
          <w:rStyle w:val="Accentuation"/>
          <w:b/>
          <w:bCs w:val="0"/>
          <w:i w:val="0"/>
          <w:sz w:val="20"/>
          <w:szCs w:val="20"/>
        </w:rPr>
        <w:t xml:space="preserve"> :</w:t>
      </w:r>
      <w:r w:rsidRPr="002E75D4">
        <w:rPr>
          <w:rStyle w:val="Accentuation"/>
          <w:bCs w:val="0"/>
          <w:i w:val="0"/>
          <w:sz w:val="20"/>
          <w:szCs w:val="20"/>
        </w:rPr>
        <w:t xml:space="preserve"> Structure de la consommation d’énergie finale par source au Mali</w:t>
      </w:r>
    </w:p>
    <w:p w14:paraId="34AAC342" w14:textId="77777777" w:rsidR="00C03EC4" w:rsidRPr="002E75D4" w:rsidRDefault="00C03EC4" w:rsidP="00C03EC4">
      <w:pPr>
        <w:pStyle w:val="Lgende"/>
        <w:rPr>
          <w:rFonts w:asciiTheme="majorHAnsi" w:hAnsiTheme="majorHAnsi" w:cstheme="majorHAnsi"/>
          <w:b w:val="0"/>
          <w:bCs w:val="0"/>
          <w:sz w:val="22"/>
          <w:szCs w:val="22"/>
        </w:rPr>
      </w:pPr>
    </w:p>
    <w:p w14:paraId="16118622"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Cette figure montre que la part de la biomasse énergie dans la consommation d’énergie finale reste la plus élevée (75%) suivie de celle des produits pétroliers (25%) et de l’électricité (5%). Il est à noter que cette forte consommation de biomasse énergie est réalisée au niveau des ménages (énergie domestique). Cette situation dénote la pression énorme exercée sur les écosystèmes forestiers qui se traduit par la diminution de leur stock de carbone.</w:t>
      </w:r>
    </w:p>
    <w:p w14:paraId="395380F2" w14:textId="77777777" w:rsidR="00C03EC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rapport BUR de 2019 et les trois communications nationales du Mali ont établi que le secteur de l’énergie fait partie des trois secteurs les plus émetteurs de gaz à effet de serre.</w:t>
      </w:r>
    </w:p>
    <w:p w14:paraId="53869F67" w14:textId="77777777" w:rsidR="00C03EC4" w:rsidRPr="00F24A9E" w:rsidRDefault="00C03EC4" w:rsidP="00C03EC4">
      <w:pPr>
        <w:spacing w:before="120" w:after="0" w:line="240" w:lineRule="auto"/>
        <w:jc w:val="both"/>
        <w:rPr>
          <w:rFonts w:asciiTheme="majorHAnsi" w:hAnsiTheme="majorHAnsi" w:cstheme="majorHAnsi"/>
          <w:sz w:val="24"/>
          <w:szCs w:val="24"/>
        </w:rPr>
      </w:pPr>
    </w:p>
    <w:p w14:paraId="6E9E03F0" w14:textId="77777777" w:rsidR="00C03EC4" w:rsidRPr="00F24A9E" w:rsidRDefault="00C03EC4" w:rsidP="00C03EC4">
      <w:pPr>
        <w:pStyle w:val="Style1"/>
        <w:ind w:left="0"/>
        <w:rPr>
          <w:sz w:val="24"/>
          <w:szCs w:val="24"/>
        </w:rPr>
      </w:pPr>
      <w:r w:rsidRPr="00F24A9E">
        <w:rPr>
          <w:sz w:val="24"/>
          <w:szCs w:val="24"/>
        </w:rPr>
        <w:t>Évolution des émissions de GES au niveau du secteur de l’énergie</w:t>
      </w:r>
    </w:p>
    <w:p w14:paraId="3F0A0001" w14:textId="77777777" w:rsidR="00C03EC4" w:rsidRPr="002E75D4" w:rsidRDefault="00C03EC4" w:rsidP="00C03EC4">
      <w:pPr>
        <w:spacing w:before="240" w:line="240" w:lineRule="auto"/>
        <w:jc w:val="both"/>
        <w:rPr>
          <w:rFonts w:asciiTheme="majorHAnsi" w:hAnsiTheme="majorHAnsi" w:cstheme="majorHAnsi"/>
          <w:sz w:val="24"/>
          <w:szCs w:val="24"/>
        </w:rPr>
      </w:pPr>
      <w:r w:rsidRPr="002E75D4">
        <w:rPr>
          <w:rFonts w:asciiTheme="majorHAnsi" w:hAnsiTheme="majorHAnsi" w:cstheme="majorHAnsi"/>
          <w:sz w:val="24"/>
          <w:szCs w:val="24"/>
        </w:rPr>
        <w:t>Les émissions de GES au niveau du secteur de l’énergie sont en forte progression comme le montre la figure ci-après.</w:t>
      </w:r>
    </w:p>
    <w:p w14:paraId="7DAEFCE7" w14:textId="77777777" w:rsidR="00C03EC4" w:rsidRPr="002E75D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Sur les périodes 2004 à 2008 et 2008 à 2017, les émissions de GES sont passées respectivement de 79% à 90%.</w:t>
      </w:r>
    </w:p>
    <w:p w14:paraId="3D292241" w14:textId="77777777" w:rsidR="00C03EC4" w:rsidRPr="002E75D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Sur la période 2004 à 2017, les émissions de CO2 sont passées de 1597 kT à 5416 kT, soit une augmentation de plus du double sur les 13 années.</w:t>
      </w:r>
    </w:p>
    <w:p w14:paraId="6E13E6A9" w14:textId="77777777" w:rsidR="00C03EC4" w:rsidRPr="002E75D4" w:rsidRDefault="00C03EC4" w:rsidP="00C03EC4">
      <w:pPr>
        <w:spacing w:before="120" w:after="0" w:line="240" w:lineRule="auto"/>
        <w:jc w:val="both"/>
        <w:rPr>
          <w:rFonts w:asciiTheme="majorHAnsi" w:hAnsiTheme="majorHAnsi" w:cstheme="majorHAnsi"/>
          <w:sz w:val="24"/>
          <w:szCs w:val="24"/>
        </w:rPr>
      </w:pPr>
      <w:r w:rsidRPr="002E75D4">
        <w:rPr>
          <w:rFonts w:asciiTheme="majorHAnsi" w:hAnsiTheme="majorHAnsi" w:cstheme="majorHAnsi"/>
          <w:noProof/>
          <w:sz w:val="24"/>
          <w:szCs w:val="24"/>
          <w:shd w:val="clear" w:color="auto" w:fill="FFFFFF" w:themeFill="background1"/>
          <w:lang w:eastAsia="fr-FR"/>
        </w:rPr>
        <w:drawing>
          <wp:inline distT="0" distB="0" distL="0" distR="0" wp14:anchorId="6729AB2A" wp14:editId="449859FA">
            <wp:extent cx="6103188" cy="2734573"/>
            <wp:effectExtent l="57150" t="19050" r="50165" b="10414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84D370" w14:textId="77777777" w:rsidR="00C03EC4" w:rsidRPr="002E75D4" w:rsidRDefault="00C03EC4" w:rsidP="00C03EC4">
      <w:pPr>
        <w:pStyle w:val="Lgende"/>
        <w:rPr>
          <w:rFonts w:asciiTheme="majorHAnsi" w:hAnsiTheme="majorHAnsi" w:cstheme="majorHAnsi"/>
          <w:b w:val="0"/>
          <w:bCs w:val="0"/>
          <w:sz w:val="22"/>
          <w:szCs w:val="22"/>
        </w:rPr>
      </w:pPr>
      <w:r w:rsidRPr="00EA7465">
        <w:rPr>
          <w:rFonts w:asciiTheme="majorHAnsi" w:hAnsiTheme="majorHAnsi" w:cstheme="majorHAnsi"/>
          <w:bCs w:val="0"/>
          <w:sz w:val="22"/>
          <w:szCs w:val="22"/>
          <w:u w:val="single"/>
        </w:rPr>
        <w:t>Figure 5</w:t>
      </w:r>
      <w:r w:rsidRPr="002E75D4">
        <w:rPr>
          <w:rFonts w:asciiTheme="majorHAnsi" w:hAnsiTheme="majorHAnsi" w:cstheme="majorHAnsi"/>
          <w:bCs w:val="0"/>
          <w:sz w:val="22"/>
          <w:szCs w:val="22"/>
        </w:rPr>
        <w:t xml:space="preserve"> :</w:t>
      </w:r>
      <w:r w:rsidRPr="002E75D4">
        <w:rPr>
          <w:rFonts w:asciiTheme="majorHAnsi" w:hAnsiTheme="majorHAnsi" w:cstheme="majorHAnsi"/>
          <w:b w:val="0"/>
          <w:bCs w:val="0"/>
          <w:sz w:val="22"/>
          <w:szCs w:val="22"/>
        </w:rPr>
        <w:t xml:space="preserve"> Évolution des émissions de CO2 au niveau du secteur de l’énergie sur la période 2004 – 2017</w:t>
      </w:r>
    </w:p>
    <w:p w14:paraId="5EB034D8" w14:textId="77777777" w:rsidR="00C03EC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p>
    <w:p w14:paraId="28E83569" w14:textId="77777777" w:rsidR="00C03EC4" w:rsidRPr="002E75D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r w:rsidRPr="002E75D4">
        <w:rPr>
          <w:rFonts w:asciiTheme="majorHAnsi" w:hAnsiTheme="majorHAnsi" w:cstheme="majorHAnsi"/>
          <w:sz w:val="24"/>
          <w:szCs w:val="24"/>
        </w:rPr>
        <w:t>Entre 2010 et 2016 les émissions de GES dues à la production et à la consommation d’énergie ont évolué de 3 400 kTéq CO2 à 5 007 kTéq CO2, soit un accroissement moyen annuel de 6 %.</w:t>
      </w:r>
    </w:p>
    <w:p w14:paraId="6F55C90B" w14:textId="77777777" w:rsidR="00C03EC4" w:rsidRPr="002E75D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r w:rsidRPr="002E75D4">
        <w:rPr>
          <w:rFonts w:asciiTheme="majorHAnsi" w:hAnsiTheme="majorHAnsi" w:cstheme="majorHAnsi"/>
          <w:sz w:val="24"/>
          <w:szCs w:val="24"/>
        </w:rPr>
        <w:t xml:space="preserve">Au regard de ce qui précède, les politiques d’atténuation d’émissions de GES dans le secteur de l’énergie, devraient s’orienter vers les industries énergétiques, les transports et le résidentiel. </w:t>
      </w:r>
    </w:p>
    <w:p w14:paraId="490EAB46" w14:textId="77777777" w:rsidR="00C03EC4" w:rsidRPr="002E75D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p>
    <w:p w14:paraId="52CD7512" w14:textId="77777777" w:rsidR="00C03EC4" w:rsidRPr="002E75D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r w:rsidRPr="002E75D4">
        <w:rPr>
          <w:rFonts w:asciiTheme="majorHAnsi" w:hAnsiTheme="majorHAnsi" w:cstheme="majorHAnsi"/>
          <w:sz w:val="24"/>
          <w:szCs w:val="24"/>
        </w:rPr>
        <w:t>Les réalisations des projets de grandes centrales électriques avec des lignes d’évacuations associées ainsi que l’application des mesures d’efficacité énergétique associant l’utilisation rationnelle de l’énergie, l’économie d’énergie et la maîtrise de l’énergie devraient permettre une décroissance significative des émissions de GES à l’horizon 2025 et 2030. L’association de l’ensemble de ces mesures a permis de construire les scénarios de base et d’atténuation.</w:t>
      </w:r>
    </w:p>
    <w:p w14:paraId="2F1108CF" w14:textId="77777777" w:rsidR="00C03EC4" w:rsidRPr="002E75D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p>
    <w:p w14:paraId="3B8BBBCD" w14:textId="77777777" w:rsidR="00C03EC4" w:rsidRPr="002E75D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r w:rsidRPr="002E75D4">
        <w:rPr>
          <w:rFonts w:asciiTheme="majorHAnsi" w:hAnsiTheme="majorHAnsi" w:cstheme="majorHAnsi"/>
          <w:sz w:val="24"/>
          <w:szCs w:val="24"/>
        </w:rPr>
        <w:t>La figure 5 résume la répartition des émissions de GES liées à la consommation d’énergie par sous-secteur sur la période 2010 et 2017.</w:t>
      </w:r>
    </w:p>
    <w:p w14:paraId="7AB06FB3" w14:textId="77777777" w:rsidR="00C03EC4" w:rsidRPr="002E75D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p>
    <w:p w14:paraId="5DBA2A20" w14:textId="77777777" w:rsidR="00C03EC4" w:rsidRPr="002E75D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r w:rsidRPr="002E75D4">
        <w:rPr>
          <w:rFonts w:asciiTheme="majorHAnsi" w:hAnsiTheme="majorHAnsi" w:cstheme="majorHAnsi"/>
          <w:sz w:val="24"/>
          <w:szCs w:val="24"/>
        </w:rPr>
        <w:t>L’analyse de cette répartition montre que les sous-secteurs de l’industrie énergétique et le transport sont responsables de la majeure partie des émissions de GES avec des contributions respectives de 31% et de 40%. Ils sont suivis par les secteurs autres (résidentiel et agriculture/pêches) et l’industrie manufacturière et construction avec des contributions respectives de 18% et 12% en 2017.</w:t>
      </w:r>
    </w:p>
    <w:p w14:paraId="49EEF075" w14:textId="77777777" w:rsidR="00C03EC4" w:rsidRPr="002E75D4" w:rsidRDefault="00C03EC4" w:rsidP="00C03EC4">
      <w:pPr>
        <w:pStyle w:val="Paragraphedeliste"/>
        <w:widowControl w:val="0"/>
        <w:autoSpaceDE w:val="0"/>
        <w:autoSpaceDN w:val="0"/>
        <w:adjustRightInd w:val="0"/>
        <w:spacing w:after="0" w:line="240" w:lineRule="auto"/>
        <w:ind w:left="0" w:right="-143"/>
        <w:mirrorIndents/>
        <w:jc w:val="both"/>
        <w:rPr>
          <w:rFonts w:asciiTheme="majorHAnsi" w:hAnsiTheme="majorHAnsi" w:cstheme="majorHAnsi"/>
          <w:sz w:val="24"/>
          <w:szCs w:val="24"/>
        </w:rPr>
      </w:pPr>
      <w:r w:rsidRPr="002E75D4">
        <w:rPr>
          <w:rFonts w:asciiTheme="majorHAnsi" w:hAnsiTheme="majorHAnsi" w:cstheme="majorHAnsi"/>
          <w:sz w:val="24"/>
          <w:szCs w:val="24"/>
        </w:rPr>
        <w:t xml:space="preserve">Cette forte contribution du secteur de l’énergie aux émissions totales des GES directs, s’explique notamment par la forte consommation de l’essence et du gasoil aux fins des transports et industries énergétiques. </w:t>
      </w:r>
    </w:p>
    <w:p w14:paraId="6E8B8261" w14:textId="77777777" w:rsidR="00C03EC4" w:rsidRPr="002E75D4" w:rsidRDefault="00C03EC4" w:rsidP="00C03EC4">
      <w:pPr>
        <w:pStyle w:val="Paragraphedeliste"/>
        <w:widowControl w:val="0"/>
        <w:autoSpaceDE w:val="0"/>
        <w:autoSpaceDN w:val="0"/>
        <w:adjustRightInd w:val="0"/>
        <w:spacing w:after="120" w:line="240" w:lineRule="auto"/>
        <w:ind w:left="0"/>
        <w:contextualSpacing w:val="0"/>
        <w:mirrorIndents/>
        <w:jc w:val="both"/>
        <w:rPr>
          <w:rFonts w:asciiTheme="majorHAnsi" w:hAnsiTheme="majorHAnsi" w:cstheme="majorHAnsi"/>
          <w:sz w:val="24"/>
          <w:szCs w:val="24"/>
        </w:rPr>
      </w:pPr>
    </w:p>
    <w:p w14:paraId="7915C72F" w14:textId="77777777" w:rsidR="00C03EC4" w:rsidRPr="00896D42" w:rsidRDefault="00C03EC4" w:rsidP="00C03EC4">
      <w:pPr>
        <w:pStyle w:val="Sansinterligne"/>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inline distT="0" distB="0" distL="0" distR="0" wp14:anchorId="23C09EFE" wp14:editId="2FA04194">
            <wp:extent cx="6111815" cy="2057400"/>
            <wp:effectExtent l="0" t="0" r="381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875155" w14:textId="77777777" w:rsidR="00C03EC4" w:rsidRDefault="00C03EC4" w:rsidP="00C03EC4">
      <w:pPr>
        <w:pStyle w:val="Lgende"/>
        <w:rPr>
          <w:rFonts w:asciiTheme="majorHAnsi" w:hAnsiTheme="majorHAnsi" w:cstheme="majorHAnsi"/>
          <w:bCs w:val="0"/>
          <w:szCs w:val="24"/>
        </w:rPr>
      </w:pPr>
      <w:r w:rsidRPr="002E75D4">
        <w:rPr>
          <w:rFonts w:asciiTheme="majorHAnsi" w:hAnsiTheme="majorHAnsi" w:cstheme="majorHAnsi"/>
          <w:bCs w:val="0"/>
          <w:szCs w:val="24"/>
        </w:rPr>
        <w:t xml:space="preserve">                                      </w:t>
      </w:r>
    </w:p>
    <w:p w14:paraId="0947FC14" w14:textId="77777777" w:rsidR="00C03EC4" w:rsidRDefault="00C03EC4" w:rsidP="00C03EC4">
      <w:pPr>
        <w:pStyle w:val="Lgende"/>
        <w:ind w:left="708" w:firstLine="708"/>
        <w:rPr>
          <w:rFonts w:asciiTheme="majorHAnsi" w:hAnsiTheme="majorHAnsi" w:cstheme="majorHAnsi"/>
          <w:b w:val="0"/>
          <w:bCs w:val="0"/>
          <w:szCs w:val="24"/>
        </w:rPr>
      </w:pPr>
      <w:r w:rsidRPr="007C42D7">
        <w:rPr>
          <w:rFonts w:asciiTheme="majorHAnsi" w:hAnsiTheme="majorHAnsi" w:cstheme="majorHAnsi"/>
          <w:bCs w:val="0"/>
          <w:sz w:val="22"/>
          <w:szCs w:val="24"/>
          <w:u w:val="single"/>
        </w:rPr>
        <w:t>Figure 6</w:t>
      </w:r>
      <w:r w:rsidRPr="002E75D4">
        <w:rPr>
          <w:rFonts w:asciiTheme="majorHAnsi" w:hAnsiTheme="majorHAnsi" w:cstheme="majorHAnsi"/>
          <w:bCs w:val="0"/>
          <w:sz w:val="22"/>
          <w:szCs w:val="24"/>
        </w:rPr>
        <w:t xml:space="preserve"> :</w:t>
      </w:r>
      <w:r w:rsidRPr="002E75D4">
        <w:rPr>
          <w:rFonts w:asciiTheme="majorHAnsi" w:hAnsiTheme="majorHAnsi" w:cstheme="majorHAnsi"/>
          <w:b w:val="0"/>
          <w:bCs w:val="0"/>
          <w:sz w:val="22"/>
          <w:szCs w:val="24"/>
        </w:rPr>
        <w:t xml:space="preserve"> </w:t>
      </w:r>
      <w:r w:rsidRPr="002E75D4">
        <w:rPr>
          <w:rFonts w:asciiTheme="majorHAnsi" w:hAnsiTheme="majorHAnsi" w:cstheme="majorHAnsi"/>
          <w:b w:val="0"/>
          <w:bCs w:val="0"/>
          <w:szCs w:val="24"/>
        </w:rPr>
        <w:t>Répartition des émissions de CO2 par sous-secteur de l’Energie en 2017</w:t>
      </w:r>
    </w:p>
    <w:p w14:paraId="299E48B5" w14:textId="77777777" w:rsidR="00C03EC4" w:rsidRPr="00F24A9E" w:rsidRDefault="00C03EC4" w:rsidP="00C03EC4"/>
    <w:p w14:paraId="38581F7F" w14:textId="77777777" w:rsidR="00C03EC4" w:rsidRPr="00F24A9E" w:rsidRDefault="00C03EC4" w:rsidP="00C03EC4">
      <w:pPr>
        <w:pStyle w:val="Style1"/>
        <w:ind w:left="0"/>
        <w:rPr>
          <w:sz w:val="24"/>
          <w:szCs w:val="24"/>
        </w:rPr>
      </w:pPr>
      <w:r w:rsidRPr="00F24A9E">
        <w:rPr>
          <w:sz w:val="24"/>
          <w:szCs w:val="24"/>
        </w:rPr>
        <w:t>Répartition des émissions par type de gaz</w:t>
      </w:r>
    </w:p>
    <w:p w14:paraId="27BD1983" w14:textId="77777777" w:rsidR="00C03EC4" w:rsidRPr="002E75D4" w:rsidRDefault="00C03EC4" w:rsidP="00C03EC4">
      <w:pPr>
        <w:spacing w:after="0" w:line="240" w:lineRule="auto"/>
        <w:contextualSpacing/>
        <w:jc w:val="both"/>
        <w:rPr>
          <w:rFonts w:asciiTheme="majorHAnsi" w:hAnsiTheme="majorHAnsi" w:cstheme="majorHAnsi"/>
          <w:sz w:val="24"/>
          <w:szCs w:val="24"/>
          <w:lang w:val="fr-ML"/>
        </w:rPr>
      </w:pPr>
    </w:p>
    <w:p w14:paraId="1C889048"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La figure ci-après résume la répartition des émissions par types de gaz : le gaz carbonique (CO2), le méthane (CH4) et le dioxyde d’azote (NO2). </w:t>
      </w:r>
    </w:p>
    <w:p w14:paraId="3E13DDE4"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Au niveau de l’énergie, le gaz carbonique (CO2) représente les 83% des émissions totales, suivi du méthane (CH4) 12% puis le NO2 4%.</w:t>
      </w:r>
    </w:p>
    <w:p w14:paraId="1B345576"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inline distT="0" distB="0" distL="0" distR="0" wp14:anchorId="3200934C" wp14:editId="5B1F9DDA">
            <wp:extent cx="6137694" cy="1772728"/>
            <wp:effectExtent l="0" t="0" r="0" b="0"/>
            <wp:docPr id="41"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BF5D58" w14:textId="77777777" w:rsidR="00C03EC4" w:rsidRPr="002E75D4" w:rsidRDefault="00C03EC4" w:rsidP="00C03EC4">
      <w:pPr>
        <w:pStyle w:val="Lgende"/>
        <w:rPr>
          <w:rFonts w:asciiTheme="majorHAnsi" w:hAnsiTheme="majorHAnsi" w:cstheme="majorHAnsi"/>
          <w:b w:val="0"/>
          <w:bCs w:val="0"/>
          <w:sz w:val="18"/>
          <w:szCs w:val="18"/>
        </w:rPr>
      </w:pPr>
      <w:r w:rsidRPr="002E75D4">
        <w:rPr>
          <w:rFonts w:asciiTheme="majorHAnsi" w:hAnsiTheme="majorHAnsi" w:cstheme="majorHAnsi"/>
          <w:b w:val="0"/>
          <w:bCs w:val="0"/>
          <w:sz w:val="18"/>
          <w:szCs w:val="18"/>
        </w:rPr>
        <w:t xml:space="preserve">                               </w:t>
      </w:r>
      <w:r>
        <w:rPr>
          <w:rFonts w:asciiTheme="majorHAnsi" w:hAnsiTheme="majorHAnsi" w:cstheme="majorHAnsi"/>
          <w:b w:val="0"/>
          <w:bCs w:val="0"/>
          <w:sz w:val="18"/>
          <w:szCs w:val="18"/>
        </w:rPr>
        <w:t xml:space="preserve">                    </w:t>
      </w:r>
      <w:r w:rsidRPr="00D05CD4">
        <w:rPr>
          <w:rFonts w:asciiTheme="majorHAnsi" w:hAnsiTheme="majorHAnsi" w:cstheme="majorHAnsi"/>
          <w:b w:val="0"/>
          <w:bCs w:val="0"/>
          <w:sz w:val="18"/>
          <w:szCs w:val="18"/>
        </w:rPr>
        <w:t xml:space="preserve">  </w:t>
      </w:r>
      <w:r w:rsidRPr="007C42D7">
        <w:rPr>
          <w:rFonts w:asciiTheme="majorHAnsi" w:hAnsiTheme="majorHAnsi" w:cstheme="majorHAnsi"/>
          <w:bCs w:val="0"/>
          <w:sz w:val="22"/>
          <w:szCs w:val="18"/>
          <w:u w:val="single"/>
        </w:rPr>
        <w:t>Figure 7</w:t>
      </w:r>
      <w:r w:rsidRPr="002E75D4">
        <w:rPr>
          <w:rFonts w:asciiTheme="majorHAnsi" w:hAnsiTheme="majorHAnsi" w:cstheme="majorHAnsi"/>
          <w:bCs w:val="0"/>
          <w:sz w:val="22"/>
          <w:szCs w:val="18"/>
        </w:rPr>
        <w:t>:</w:t>
      </w:r>
      <w:r w:rsidRPr="002E75D4">
        <w:rPr>
          <w:rFonts w:asciiTheme="majorHAnsi" w:hAnsiTheme="majorHAnsi" w:cstheme="majorHAnsi"/>
          <w:b w:val="0"/>
          <w:bCs w:val="0"/>
          <w:sz w:val="22"/>
          <w:szCs w:val="18"/>
        </w:rPr>
        <w:t xml:space="preserve"> </w:t>
      </w:r>
      <w:r w:rsidRPr="002E75D4">
        <w:rPr>
          <w:rFonts w:asciiTheme="majorHAnsi" w:hAnsiTheme="majorHAnsi" w:cstheme="majorHAnsi"/>
          <w:b w:val="0"/>
          <w:bCs w:val="0"/>
          <w:szCs w:val="18"/>
        </w:rPr>
        <w:t>Répartition des émissions par types de gaz</w:t>
      </w:r>
    </w:p>
    <w:p w14:paraId="656CCBC3" w14:textId="77777777" w:rsidR="00C03EC4" w:rsidRPr="002E75D4" w:rsidRDefault="00C03EC4" w:rsidP="00C03EC4">
      <w:pPr>
        <w:spacing w:line="240" w:lineRule="auto"/>
        <w:jc w:val="both"/>
        <w:rPr>
          <w:rFonts w:asciiTheme="majorHAnsi" w:hAnsiTheme="majorHAnsi" w:cstheme="majorHAnsi"/>
          <w:b/>
          <w:sz w:val="36"/>
          <w:szCs w:val="36"/>
        </w:rPr>
      </w:pPr>
    </w:p>
    <w:p w14:paraId="19D1ED08" w14:textId="77777777" w:rsidR="00C03EC4" w:rsidRDefault="00C03EC4" w:rsidP="00C03EC4">
      <w:pPr>
        <w:spacing w:line="240" w:lineRule="auto"/>
        <w:jc w:val="both"/>
        <w:rPr>
          <w:rFonts w:asciiTheme="majorHAnsi" w:hAnsiTheme="majorHAnsi" w:cstheme="majorHAnsi"/>
          <w:b/>
          <w:sz w:val="34"/>
          <w:szCs w:val="34"/>
        </w:rPr>
      </w:pPr>
    </w:p>
    <w:p w14:paraId="257F02AE" w14:textId="77777777" w:rsidR="00C03EC4" w:rsidRDefault="00C03EC4" w:rsidP="00C03EC4">
      <w:pPr>
        <w:spacing w:line="240" w:lineRule="auto"/>
        <w:jc w:val="both"/>
        <w:rPr>
          <w:rFonts w:asciiTheme="majorHAnsi" w:hAnsiTheme="majorHAnsi" w:cstheme="majorHAnsi"/>
          <w:b/>
          <w:sz w:val="34"/>
          <w:szCs w:val="34"/>
        </w:rPr>
      </w:pPr>
    </w:p>
    <w:p w14:paraId="14969E96" w14:textId="77777777" w:rsidR="00C03EC4" w:rsidRDefault="00C03EC4" w:rsidP="00C03EC4">
      <w:pPr>
        <w:spacing w:line="240" w:lineRule="auto"/>
        <w:jc w:val="both"/>
        <w:rPr>
          <w:rFonts w:asciiTheme="majorHAnsi" w:hAnsiTheme="majorHAnsi" w:cstheme="majorHAnsi"/>
          <w:b/>
          <w:sz w:val="34"/>
          <w:szCs w:val="34"/>
        </w:rPr>
      </w:pPr>
    </w:p>
    <w:p w14:paraId="714E9E01" w14:textId="77777777" w:rsidR="00C03EC4" w:rsidRDefault="00C03EC4" w:rsidP="00C03EC4">
      <w:pPr>
        <w:spacing w:line="240" w:lineRule="auto"/>
        <w:jc w:val="both"/>
        <w:rPr>
          <w:rFonts w:asciiTheme="majorHAnsi" w:hAnsiTheme="majorHAnsi" w:cstheme="majorHAnsi"/>
          <w:b/>
          <w:sz w:val="34"/>
          <w:szCs w:val="34"/>
        </w:rPr>
      </w:pPr>
    </w:p>
    <w:p w14:paraId="7010916F" w14:textId="77777777" w:rsidR="00C03EC4" w:rsidRPr="005F51BC" w:rsidRDefault="00C03EC4" w:rsidP="00C03EC4">
      <w:pPr>
        <w:spacing w:line="240" w:lineRule="auto"/>
        <w:jc w:val="both"/>
        <w:rPr>
          <w:rFonts w:asciiTheme="majorHAnsi" w:hAnsiTheme="majorHAnsi" w:cstheme="majorHAnsi"/>
          <w:b/>
          <w:sz w:val="30"/>
          <w:szCs w:val="30"/>
        </w:rPr>
      </w:pPr>
      <w:r w:rsidRPr="005F51BC">
        <w:rPr>
          <w:rFonts w:asciiTheme="majorHAnsi" w:hAnsiTheme="majorHAnsi" w:cstheme="majorHAnsi"/>
          <w:b/>
          <w:sz w:val="30"/>
          <w:szCs w:val="30"/>
        </w:rPr>
        <w:t>3.1.2. Secteur de l’Agriculture</w:t>
      </w:r>
    </w:p>
    <w:p w14:paraId="46A83FF1" w14:textId="77777777" w:rsidR="00C03EC4" w:rsidRDefault="00C03EC4" w:rsidP="00C03EC4">
      <w:pPr>
        <w:pStyle w:val="Style1"/>
        <w:ind w:left="0"/>
        <w:rPr>
          <w:sz w:val="24"/>
          <w:szCs w:val="24"/>
        </w:rPr>
      </w:pPr>
      <w:r w:rsidRPr="005F51BC">
        <w:rPr>
          <w:sz w:val="24"/>
          <w:szCs w:val="24"/>
        </w:rPr>
        <w:t>Caractéristiques du secteur par rapport aux changements climatiques</w:t>
      </w:r>
    </w:p>
    <w:p w14:paraId="3FA9DAB1" w14:textId="77777777" w:rsidR="00C03EC4" w:rsidRPr="005F51BC" w:rsidRDefault="00C03EC4" w:rsidP="00C03EC4">
      <w:pPr>
        <w:pStyle w:val="Style1"/>
        <w:ind w:left="0"/>
        <w:rPr>
          <w:sz w:val="24"/>
          <w:szCs w:val="24"/>
        </w:rPr>
      </w:pPr>
    </w:p>
    <w:p w14:paraId="72377F7B" w14:textId="77777777" w:rsidR="00C03EC4" w:rsidRPr="002E75D4" w:rsidRDefault="00C03EC4" w:rsidP="00C03EC4">
      <w:pPr>
        <w:autoSpaceDE w:val="0"/>
        <w:autoSpaceDN w:val="0"/>
        <w:adjustRightInd w:val="0"/>
        <w:spacing w:line="240" w:lineRule="auto"/>
        <w:jc w:val="both"/>
        <w:rPr>
          <w:rFonts w:asciiTheme="majorHAnsi" w:hAnsiTheme="majorHAnsi" w:cstheme="majorHAnsi"/>
          <w:sz w:val="24"/>
          <w:szCs w:val="24"/>
        </w:rPr>
      </w:pPr>
      <w:r w:rsidRPr="002E75D4">
        <w:rPr>
          <w:rFonts w:asciiTheme="majorHAnsi" w:eastAsia="ArialNarrow" w:hAnsiTheme="majorHAnsi" w:cstheme="majorHAnsi"/>
          <w:sz w:val="24"/>
          <w:szCs w:val="24"/>
        </w:rPr>
        <w:t xml:space="preserve">Le secteur de l’Agriculture comprend le sous-secteur des productions agricoles, le sous-secteur de l’élevage et le sous-secteur de la pêche. </w:t>
      </w:r>
      <w:r w:rsidRPr="002E75D4">
        <w:rPr>
          <w:rFonts w:asciiTheme="majorHAnsi" w:hAnsiTheme="majorHAnsi" w:cstheme="majorHAnsi"/>
          <w:sz w:val="24"/>
          <w:szCs w:val="24"/>
        </w:rPr>
        <w:t xml:space="preserve">Ce secteur supporte </w:t>
      </w:r>
      <w:r w:rsidRPr="002E75D4">
        <w:rPr>
          <w:rFonts w:asciiTheme="majorHAnsi" w:eastAsia="ArialNarrow" w:hAnsiTheme="majorHAnsi" w:cstheme="majorHAnsi"/>
          <w:sz w:val="24"/>
          <w:szCs w:val="24"/>
        </w:rPr>
        <w:t>la principale activité socio-économique des populations maliennes, environ 80% (INSTAT, 2018). Il constitue la base de l’économie malienne et, est fortement tributaire aux variations climatiques.</w:t>
      </w:r>
    </w:p>
    <w:p w14:paraId="562280F3" w14:textId="77777777" w:rsidR="00C03EC4" w:rsidRPr="002E75D4" w:rsidRDefault="00C03EC4" w:rsidP="00C03EC4">
      <w:pPr>
        <w:autoSpaceDE w:val="0"/>
        <w:autoSpaceDN w:val="0"/>
        <w:adjustRightInd w:val="0"/>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Il se caractérise par une grande diversité agro écologique, qui se traduit par des systèmes de production à base de : coton dans les régions sud, céréales sèches et pâturages au centre et oasis à l’extrême nord.</w:t>
      </w:r>
    </w:p>
    <w:p w14:paraId="04B9E071" w14:textId="77777777" w:rsidR="00C03EC4" w:rsidRPr="002E75D4" w:rsidRDefault="00C03EC4" w:rsidP="00C03EC4">
      <w:pPr>
        <w:autoSpaceDE w:val="0"/>
        <w:autoSpaceDN w:val="0"/>
        <w:adjustRightInd w:val="0"/>
        <w:spacing w:line="240" w:lineRule="auto"/>
        <w:jc w:val="both"/>
        <w:rPr>
          <w:rFonts w:asciiTheme="majorHAnsi" w:eastAsia="ArialNarrow" w:hAnsiTheme="majorHAnsi" w:cstheme="majorHAnsi"/>
          <w:sz w:val="24"/>
          <w:szCs w:val="24"/>
        </w:rPr>
      </w:pPr>
      <w:r w:rsidRPr="002E75D4">
        <w:rPr>
          <w:rFonts w:asciiTheme="majorHAnsi" w:hAnsiTheme="majorHAnsi" w:cstheme="majorHAnsi"/>
          <w:sz w:val="24"/>
          <w:szCs w:val="24"/>
        </w:rPr>
        <w:t>Le développement des superficies cultivées porte préjudice à l’environnement à la suite des défrichements d’espace plus ou moins boisés, à la dégradation des sols et à l’augmentation des émissions de GES.</w:t>
      </w:r>
    </w:p>
    <w:p w14:paraId="69E413AF" w14:textId="77777777" w:rsidR="00C03EC4" w:rsidRPr="002E75D4" w:rsidRDefault="00C03EC4" w:rsidP="00C03EC4">
      <w:pPr>
        <w:pStyle w:val="Default"/>
        <w:jc w:val="both"/>
        <w:rPr>
          <w:rFonts w:asciiTheme="majorHAnsi" w:hAnsiTheme="majorHAnsi" w:cstheme="majorHAnsi"/>
          <w:color w:val="auto"/>
        </w:rPr>
      </w:pPr>
      <w:r w:rsidRPr="002E75D4">
        <w:rPr>
          <w:rFonts w:asciiTheme="majorHAnsi" w:hAnsiTheme="majorHAnsi" w:cstheme="majorHAnsi"/>
          <w:color w:val="auto"/>
        </w:rPr>
        <w:t>Concernant le système pastoral, il est extensif et extrêmement vulnérable aux aléas climatiques suite à : i) la grande fluctuation interannuelle du disponible fourrager, ii) la compétition croissante entre l’élevage et l’agriculture pour l’utilisation des terres, iii) le mauvais maillage hydraulique, induisant une sous-exploitation ou une surexploitation des ressources de pâturages.</w:t>
      </w:r>
    </w:p>
    <w:p w14:paraId="6DD40919"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 w:val="24"/>
          <w:szCs w:val="24"/>
        </w:rPr>
      </w:pPr>
    </w:p>
    <w:p w14:paraId="7A6DECD4" w14:textId="77777777" w:rsidR="00C03EC4" w:rsidRPr="002E75D4" w:rsidRDefault="00C03EC4" w:rsidP="00C03EC4">
      <w:pPr>
        <w:autoSpaceDE w:val="0"/>
        <w:autoSpaceDN w:val="0"/>
        <w:adjustRightInd w:val="0"/>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Du rapport d’étude d’AGRECO, l’élevage participe pour 7,9% du PIB nominal de 2010 (FMI, 2013). Il est composé de bovins, petits ruminants, d’asins, d’équins et de camelins. </w:t>
      </w:r>
    </w:p>
    <w:p w14:paraId="66237ED1" w14:textId="77777777" w:rsidR="00C03EC4" w:rsidRPr="00FC3DF0" w:rsidRDefault="00C03EC4" w:rsidP="00C03EC4">
      <w:pPr>
        <w:autoSpaceDE w:val="0"/>
        <w:autoSpaceDN w:val="0"/>
        <w:adjustRightInd w:val="0"/>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Environ 75% du bétail malien est constitué de troupeaux transhumants. Cette situation conduit à des impacts environnementaux qui sont entre autres : les émissions de méthane, de CO2, la destruction du tapis herbacé, la dégradation du sol, la désertification par le surpâturage, la destruction des ressources forestières par émondage des arbres lors des périodes de soudures, les feux de brousse souvent initiés par les éleveurs et les conflits éleveurs- agriculteurs.</w:t>
      </w:r>
    </w:p>
    <w:p w14:paraId="7AC5173A" w14:textId="77777777" w:rsidR="00C03EC4" w:rsidRPr="005F51BC" w:rsidRDefault="00C03EC4" w:rsidP="00C03EC4">
      <w:pPr>
        <w:autoSpaceDE w:val="0"/>
        <w:autoSpaceDN w:val="0"/>
        <w:adjustRightInd w:val="0"/>
        <w:spacing w:line="240" w:lineRule="auto"/>
        <w:jc w:val="both"/>
        <w:rPr>
          <w:rFonts w:asciiTheme="majorHAnsi" w:hAnsiTheme="majorHAnsi" w:cstheme="majorHAnsi"/>
          <w:b/>
          <w:bCs/>
          <w:sz w:val="24"/>
          <w:szCs w:val="24"/>
        </w:rPr>
      </w:pPr>
      <w:r w:rsidRPr="005F51BC">
        <w:rPr>
          <w:b/>
          <w:bCs/>
          <w:sz w:val="24"/>
          <w:szCs w:val="24"/>
        </w:rPr>
        <w:t>Émissions de GES dans le secteur de I' Agriculture</w:t>
      </w:r>
    </w:p>
    <w:p w14:paraId="7618FD36" w14:textId="77777777" w:rsidR="00C03EC4" w:rsidRPr="002E75D4" w:rsidRDefault="00C03EC4" w:rsidP="00C03EC4">
      <w:pPr>
        <w:pStyle w:val="Default"/>
        <w:jc w:val="both"/>
        <w:rPr>
          <w:rFonts w:asciiTheme="majorHAnsi" w:hAnsiTheme="majorHAnsi" w:cstheme="majorHAnsi"/>
          <w:b/>
          <w:color w:val="auto"/>
        </w:rPr>
      </w:pPr>
    </w:p>
    <w:p w14:paraId="37B6E53F" w14:textId="77777777" w:rsidR="00C03EC4" w:rsidRPr="00A021BD" w:rsidRDefault="00C03EC4" w:rsidP="00C03EC4">
      <w:pPr>
        <w:autoSpaceDE w:val="0"/>
        <w:autoSpaceDN w:val="0"/>
        <w:adjustRightInd w:val="0"/>
        <w:spacing w:line="240" w:lineRule="auto"/>
        <w:jc w:val="both"/>
        <w:rPr>
          <w:rFonts w:asciiTheme="majorHAnsi" w:hAnsiTheme="majorHAnsi" w:cstheme="majorHAnsi"/>
          <w:bCs/>
          <w:sz w:val="24"/>
          <w:szCs w:val="24"/>
        </w:rPr>
      </w:pPr>
      <w:r w:rsidRPr="00A021BD">
        <w:rPr>
          <w:rFonts w:asciiTheme="majorHAnsi" w:hAnsiTheme="majorHAnsi" w:cstheme="majorHAnsi"/>
          <w:bCs/>
          <w:sz w:val="24"/>
          <w:szCs w:val="24"/>
        </w:rPr>
        <w:t>Le secteur de l'Agriculture regroupe les sous-secteurs suivants :</w:t>
      </w:r>
    </w:p>
    <w:p w14:paraId="7E8579A0" w14:textId="77777777" w:rsidR="00C03EC4" w:rsidRPr="002E75D4" w:rsidRDefault="00C03EC4" w:rsidP="00C03EC4">
      <w:pPr>
        <w:pStyle w:val="Paragraphedeliste"/>
        <w:numPr>
          <w:ilvl w:val="0"/>
          <w:numId w:val="6"/>
        </w:numPr>
        <w:autoSpaceDE w:val="0"/>
        <w:autoSpaceDN w:val="0"/>
        <w:adjustRightInd w:val="0"/>
        <w:jc w:val="both"/>
        <w:rPr>
          <w:rFonts w:asciiTheme="majorHAnsi" w:hAnsiTheme="majorHAnsi" w:cstheme="majorHAnsi"/>
          <w:sz w:val="24"/>
          <w:szCs w:val="24"/>
        </w:rPr>
      </w:pPr>
      <w:r w:rsidRPr="002E75D4">
        <w:rPr>
          <w:rFonts w:asciiTheme="majorHAnsi" w:hAnsiTheme="majorHAnsi" w:cstheme="majorHAnsi"/>
          <w:sz w:val="24"/>
          <w:szCs w:val="24"/>
        </w:rPr>
        <w:t>L’Elevage, où la production du méthane (CH4) se produit par : (i) la fermentation entérique résultant du processus digestif des animaux ; (ii) le mode de gestion du fumier pouvant provoquer sa décomposition dans des conditions anaérobies ;</w:t>
      </w:r>
    </w:p>
    <w:p w14:paraId="6197E3DD" w14:textId="77777777" w:rsidR="00C03EC4" w:rsidRPr="002E75D4" w:rsidRDefault="00C03EC4" w:rsidP="00C03EC4">
      <w:pPr>
        <w:pStyle w:val="Paragraphedeliste"/>
        <w:autoSpaceDE w:val="0"/>
        <w:autoSpaceDN w:val="0"/>
        <w:adjustRightInd w:val="0"/>
        <w:jc w:val="both"/>
        <w:rPr>
          <w:rFonts w:asciiTheme="majorHAnsi" w:hAnsiTheme="majorHAnsi" w:cstheme="majorHAnsi"/>
          <w:sz w:val="10"/>
          <w:szCs w:val="24"/>
        </w:rPr>
      </w:pPr>
    </w:p>
    <w:p w14:paraId="1B0D6F20" w14:textId="77777777" w:rsidR="00C03EC4" w:rsidRPr="002E75D4" w:rsidRDefault="00C03EC4" w:rsidP="00C03EC4">
      <w:pPr>
        <w:pStyle w:val="Paragraphedeliste"/>
        <w:numPr>
          <w:ilvl w:val="0"/>
          <w:numId w:val="6"/>
        </w:numPr>
        <w:autoSpaceDE w:val="0"/>
        <w:autoSpaceDN w:val="0"/>
        <w:adjustRightInd w:val="0"/>
        <w:jc w:val="both"/>
        <w:rPr>
          <w:rFonts w:asciiTheme="majorHAnsi" w:hAnsiTheme="majorHAnsi" w:cstheme="majorHAnsi"/>
          <w:sz w:val="24"/>
          <w:szCs w:val="24"/>
        </w:rPr>
      </w:pPr>
      <w:r w:rsidRPr="002E75D4">
        <w:rPr>
          <w:rFonts w:asciiTheme="majorHAnsi" w:hAnsiTheme="majorHAnsi" w:cstheme="majorHAnsi"/>
          <w:sz w:val="24"/>
          <w:szCs w:val="24"/>
        </w:rPr>
        <w:t>La Riziculture : la décomposition anaérobie des matières organiques dans les rizières inondées produit du CH4 qui est rejeté dans l'atmosphère principalement par l'intermédiaire des pieds de riz pendant la saison de croissance ;</w:t>
      </w:r>
    </w:p>
    <w:p w14:paraId="6D6CF04B" w14:textId="77777777" w:rsidR="00C03EC4" w:rsidRPr="002E75D4" w:rsidRDefault="00C03EC4" w:rsidP="00C03EC4">
      <w:pPr>
        <w:pStyle w:val="Paragraphedeliste"/>
        <w:numPr>
          <w:ilvl w:val="0"/>
          <w:numId w:val="6"/>
        </w:numPr>
        <w:autoSpaceDE w:val="0"/>
        <w:autoSpaceDN w:val="0"/>
        <w:adjustRightInd w:val="0"/>
        <w:jc w:val="both"/>
        <w:rPr>
          <w:rFonts w:asciiTheme="majorHAnsi" w:hAnsiTheme="majorHAnsi" w:cstheme="majorHAnsi"/>
          <w:sz w:val="24"/>
          <w:szCs w:val="24"/>
        </w:rPr>
      </w:pPr>
      <w:r w:rsidRPr="002E75D4">
        <w:rPr>
          <w:rFonts w:asciiTheme="majorHAnsi" w:hAnsiTheme="majorHAnsi" w:cstheme="majorHAnsi"/>
          <w:sz w:val="24"/>
          <w:szCs w:val="24"/>
        </w:rPr>
        <w:t>Le brûlage des savanes et des résidus agricoles sur place : le brûlage dans ce secteur produit principalement du monoxyde de carbone ; dans I' ensemble de ce sous-secteur, il y a des émissions instantanées de dioxyde de carbone (C02) dont le bilan est nul car le CO2 émis est rejeté dans l'atmosphère et réabsorbé au cours de chaque nouvelle période de végétation.</w:t>
      </w:r>
    </w:p>
    <w:p w14:paraId="074B6D01" w14:textId="77777777" w:rsidR="00C03EC4" w:rsidRPr="002E75D4" w:rsidRDefault="00C03EC4" w:rsidP="00C03EC4">
      <w:pPr>
        <w:pStyle w:val="Paragraphedeliste"/>
        <w:numPr>
          <w:ilvl w:val="0"/>
          <w:numId w:val="6"/>
        </w:numPr>
        <w:autoSpaceDE w:val="0"/>
        <w:autoSpaceDN w:val="0"/>
        <w:adjustRightInd w:val="0"/>
        <w:jc w:val="both"/>
        <w:rPr>
          <w:rFonts w:asciiTheme="majorHAnsi" w:hAnsiTheme="majorHAnsi" w:cstheme="majorHAnsi"/>
          <w:sz w:val="24"/>
          <w:szCs w:val="24"/>
        </w:rPr>
      </w:pPr>
      <w:r w:rsidRPr="002E75D4">
        <w:rPr>
          <w:rFonts w:asciiTheme="majorHAnsi" w:hAnsiTheme="majorHAnsi" w:cstheme="majorHAnsi"/>
          <w:sz w:val="24"/>
          <w:szCs w:val="24"/>
        </w:rPr>
        <w:t xml:space="preserve">Les sols agricoles et la gestion des engrais : ce sous-secteur produit du N20, dont : (i) les émissions directes par les sols cultivés (incluant les systèmes de culture et les effets des animaux en pâturage) et, par les sols issus de la production animale ;         </w:t>
      </w:r>
    </w:p>
    <w:p w14:paraId="73A1674C" w14:textId="77777777" w:rsidR="00C03EC4" w:rsidRPr="002E75D4" w:rsidRDefault="00C03EC4" w:rsidP="00C03EC4">
      <w:pPr>
        <w:pStyle w:val="Paragraphedeliste"/>
        <w:autoSpaceDE w:val="0"/>
        <w:autoSpaceDN w:val="0"/>
        <w:adjustRightInd w:val="0"/>
        <w:jc w:val="both"/>
        <w:rPr>
          <w:rFonts w:asciiTheme="majorHAnsi" w:hAnsiTheme="majorHAnsi" w:cstheme="majorHAnsi"/>
          <w:sz w:val="24"/>
          <w:szCs w:val="24"/>
        </w:rPr>
      </w:pPr>
      <w:r w:rsidRPr="002E75D4">
        <w:rPr>
          <w:rFonts w:asciiTheme="majorHAnsi" w:hAnsiTheme="majorHAnsi" w:cstheme="majorHAnsi"/>
          <w:sz w:val="24"/>
          <w:szCs w:val="24"/>
        </w:rPr>
        <w:t>(ii) les émissions indirectes issues de l'azote utilisé en agriculture.</w:t>
      </w:r>
    </w:p>
    <w:p w14:paraId="1204C7B2" w14:textId="77777777" w:rsidR="00C03EC4" w:rsidRPr="002E75D4" w:rsidRDefault="00C03EC4" w:rsidP="00C03EC4">
      <w:pPr>
        <w:pStyle w:val="Style1"/>
        <w:ind w:left="0"/>
      </w:pPr>
      <w:r w:rsidRPr="00F24A9E">
        <w:rPr>
          <w:sz w:val="24"/>
          <w:szCs w:val="24"/>
        </w:rPr>
        <w:t>La répartition des émissions de GES par sous-secteur et par type de gaz est</w:t>
      </w:r>
      <w:r w:rsidRPr="00A021BD">
        <w:t xml:space="preserve"> </w:t>
      </w:r>
      <w:r w:rsidRPr="00F24A9E">
        <w:rPr>
          <w:sz w:val="24"/>
          <w:szCs w:val="24"/>
        </w:rPr>
        <w:t>résumée dans le tableau 4 ci-dessous :</w:t>
      </w:r>
    </w:p>
    <w:p w14:paraId="5C6DBF85" w14:textId="77777777" w:rsidR="00C03EC4" w:rsidRDefault="00C03EC4" w:rsidP="00C03EC4">
      <w:pPr>
        <w:pStyle w:val="Lgende"/>
        <w:spacing w:after="120"/>
        <w:ind w:right="-471"/>
        <w:rPr>
          <w:rFonts w:asciiTheme="majorHAnsi" w:hAnsiTheme="majorHAnsi" w:cstheme="majorHAnsi"/>
          <w:sz w:val="24"/>
          <w:szCs w:val="24"/>
        </w:rPr>
      </w:pPr>
    </w:p>
    <w:p w14:paraId="79593292" w14:textId="77777777" w:rsidR="00C03EC4" w:rsidRPr="002E75D4" w:rsidRDefault="00C03EC4" w:rsidP="00C03EC4">
      <w:pPr>
        <w:pStyle w:val="Lgende"/>
        <w:spacing w:after="120"/>
        <w:ind w:right="-471"/>
        <w:rPr>
          <w:rFonts w:asciiTheme="majorHAnsi" w:eastAsia="Calibri" w:hAnsiTheme="majorHAnsi" w:cstheme="majorHAnsi"/>
          <w:b w:val="0"/>
          <w:bCs w:val="0"/>
          <w:sz w:val="24"/>
          <w:szCs w:val="24"/>
        </w:rPr>
      </w:pPr>
      <w:r w:rsidRPr="00EA7465">
        <w:rPr>
          <w:rFonts w:asciiTheme="majorHAnsi" w:hAnsiTheme="majorHAnsi" w:cstheme="majorHAnsi"/>
          <w:sz w:val="24"/>
          <w:szCs w:val="24"/>
          <w:u w:val="single"/>
        </w:rPr>
        <w:t>Tableau 4</w:t>
      </w:r>
      <w:r w:rsidRPr="002E75D4">
        <w:rPr>
          <w:rFonts w:asciiTheme="majorHAnsi" w:hAnsiTheme="majorHAnsi" w:cstheme="majorHAnsi"/>
          <w:bCs w:val="0"/>
          <w:sz w:val="24"/>
          <w:szCs w:val="24"/>
        </w:rPr>
        <w:t> :</w:t>
      </w:r>
      <w:r w:rsidRPr="002E75D4">
        <w:rPr>
          <w:rFonts w:asciiTheme="majorHAnsi" w:hAnsiTheme="majorHAnsi" w:cstheme="majorHAnsi"/>
          <w:b w:val="0"/>
          <w:bCs w:val="0"/>
          <w:sz w:val="24"/>
          <w:szCs w:val="24"/>
        </w:rPr>
        <w:t xml:space="preserve"> </w:t>
      </w:r>
      <w:r w:rsidRPr="002E75D4">
        <w:rPr>
          <w:rFonts w:asciiTheme="majorHAnsi" w:eastAsia="Calibri" w:hAnsiTheme="majorHAnsi" w:cstheme="majorHAnsi"/>
          <w:b w:val="0"/>
          <w:bCs w:val="0"/>
          <w:sz w:val="24"/>
          <w:szCs w:val="24"/>
        </w:rPr>
        <w:t>Émissions en éq-C02 par sous-secteur et par type de gaz – période 2015-2019</w:t>
      </w:r>
    </w:p>
    <w:tbl>
      <w:tblPr>
        <w:tblStyle w:val="Grillemoyenne3-Accent3"/>
        <w:tblW w:w="5000" w:type="pct"/>
        <w:tblLook w:val="0600" w:firstRow="0" w:lastRow="0" w:firstColumn="0" w:lastColumn="0" w:noHBand="1" w:noVBand="1"/>
      </w:tblPr>
      <w:tblGrid>
        <w:gridCol w:w="1011"/>
        <w:gridCol w:w="955"/>
        <w:gridCol w:w="1280"/>
        <w:gridCol w:w="1279"/>
        <w:gridCol w:w="1279"/>
        <w:gridCol w:w="1268"/>
        <w:gridCol w:w="1268"/>
        <w:gridCol w:w="1279"/>
      </w:tblGrid>
      <w:tr w:rsidR="00C03EC4" w:rsidRPr="002E75D4" w14:paraId="2524A75A" w14:textId="77777777" w:rsidTr="000D6136">
        <w:trPr>
          <w:trHeight w:val="20"/>
        </w:trPr>
        <w:tc>
          <w:tcPr>
            <w:tcW w:w="525" w:type="pct"/>
            <w:vMerge w:val="restart"/>
            <w:shd w:val="clear" w:color="auto" w:fill="640000"/>
            <w:vAlign w:val="center"/>
            <w:hideMark/>
          </w:tcPr>
          <w:p w14:paraId="6DF60266"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Années</w:t>
            </w:r>
          </w:p>
        </w:tc>
        <w:tc>
          <w:tcPr>
            <w:tcW w:w="1161" w:type="pct"/>
            <w:gridSpan w:val="2"/>
            <w:shd w:val="clear" w:color="auto" w:fill="002060"/>
            <w:vAlign w:val="center"/>
            <w:hideMark/>
          </w:tcPr>
          <w:p w14:paraId="11C6EA89"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Elevage</w:t>
            </w:r>
          </w:p>
        </w:tc>
        <w:tc>
          <w:tcPr>
            <w:tcW w:w="1330" w:type="pct"/>
            <w:gridSpan w:val="2"/>
            <w:shd w:val="clear" w:color="auto" w:fill="BF8F00" w:themeFill="accent4" w:themeFillShade="BF"/>
            <w:vAlign w:val="center"/>
            <w:hideMark/>
          </w:tcPr>
          <w:p w14:paraId="17203767"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Agriculture</w:t>
            </w:r>
          </w:p>
        </w:tc>
        <w:tc>
          <w:tcPr>
            <w:tcW w:w="659" w:type="pct"/>
            <w:vMerge w:val="restart"/>
            <w:shd w:val="clear" w:color="auto" w:fill="00B050"/>
            <w:vAlign w:val="center"/>
            <w:hideMark/>
          </w:tcPr>
          <w:p w14:paraId="49FA35A5"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Sous total</w:t>
            </w:r>
          </w:p>
          <w:p w14:paraId="1EE8E2DF"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CH4</w:t>
            </w:r>
          </w:p>
        </w:tc>
        <w:tc>
          <w:tcPr>
            <w:tcW w:w="659" w:type="pct"/>
            <w:vMerge w:val="restart"/>
            <w:shd w:val="clear" w:color="auto" w:fill="FF0000"/>
            <w:vAlign w:val="center"/>
            <w:hideMark/>
          </w:tcPr>
          <w:p w14:paraId="67543603"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Sous total</w:t>
            </w:r>
          </w:p>
          <w:p w14:paraId="24A9095A"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NO2</w:t>
            </w:r>
          </w:p>
        </w:tc>
        <w:tc>
          <w:tcPr>
            <w:tcW w:w="665" w:type="pct"/>
            <w:vMerge w:val="restart"/>
            <w:shd w:val="clear" w:color="auto" w:fill="ED7D31" w:themeFill="accent2"/>
            <w:vAlign w:val="center"/>
            <w:hideMark/>
          </w:tcPr>
          <w:p w14:paraId="03D889A1"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Total</w:t>
            </w:r>
          </w:p>
        </w:tc>
      </w:tr>
      <w:tr w:rsidR="00C03EC4" w:rsidRPr="002E75D4" w14:paraId="3B860890" w14:textId="77777777" w:rsidTr="000D6136">
        <w:trPr>
          <w:trHeight w:val="57"/>
        </w:trPr>
        <w:tc>
          <w:tcPr>
            <w:tcW w:w="525" w:type="pct"/>
            <w:vMerge/>
            <w:shd w:val="clear" w:color="auto" w:fill="640000"/>
            <w:vAlign w:val="center"/>
            <w:hideMark/>
          </w:tcPr>
          <w:p w14:paraId="0A34F493" w14:textId="77777777" w:rsidR="00C03EC4" w:rsidRPr="002E75D4" w:rsidRDefault="00C03EC4" w:rsidP="000D6136">
            <w:pPr>
              <w:spacing w:before="240"/>
              <w:jc w:val="center"/>
              <w:rPr>
                <w:rFonts w:asciiTheme="majorHAnsi" w:hAnsiTheme="majorHAnsi" w:cstheme="majorHAnsi"/>
                <w:sz w:val="24"/>
                <w:szCs w:val="24"/>
              </w:rPr>
            </w:pPr>
          </w:p>
        </w:tc>
        <w:tc>
          <w:tcPr>
            <w:tcW w:w="496" w:type="pct"/>
            <w:shd w:val="clear" w:color="auto" w:fill="002060"/>
            <w:vAlign w:val="bottom"/>
            <w:hideMark/>
          </w:tcPr>
          <w:p w14:paraId="2C976CD1"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CH4</w:t>
            </w:r>
          </w:p>
        </w:tc>
        <w:tc>
          <w:tcPr>
            <w:tcW w:w="665" w:type="pct"/>
            <w:shd w:val="clear" w:color="auto" w:fill="002060"/>
            <w:vAlign w:val="bottom"/>
            <w:hideMark/>
          </w:tcPr>
          <w:p w14:paraId="4836575B"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NO2</w:t>
            </w:r>
          </w:p>
        </w:tc>
        <w:tc>
          <w:tcPr>
            <w:tcW w:w="665" w:type="pct"/>
            <w:shd w:val="clear" w:color="auto" w:fill="BF8F00" w:themeFill="accent4" w:themeFillShade="BF"/>
            <w:vAlign w:val="bottom"/>
            <w:hideMark/>
          </w:tcPr>
          <w:p w14:paraId="67C21832"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CH4</w:t>
            </w:r>
          </w:p>
        </w:tc>
        <w:tc>
          <w:tcPr>
            <w:tcW w:w="665" w:type="pct"/>
            <w:shd w:val="clear" w:color="auto" w:fill="BF8F00" w:themeFill="accent4" w:themeFillShade="BF"/>
            <w:vAlign w:val="bottom"/>
            <w:hideMark/>
          </w:tcPr>
          <w:p w14:paraId="1C2723B6" w14:textId="77777777" w:rsidR="00C03EC4" w:rsidRPr="002E75D4" w:rsidRDefault="00C03EC4" w:rsidP="000D6136">
            <w:pPr>
              <w:spacing w:before="240"/>
              <w:jc w:val="center"/>
              <w:rPr>
                <w:rFonts w:asciiTheme="majorHAnsi" w:hAnsiTheme="majorHAnsi" w:cstheme="majorHAnsi"/>
                <w:b/>
                <w:sz w:val="24"/>
                <w:szCs w:val="24"/>
              </w:rPr>
            </w:pPr>
            <w:r w:rsidRPr="002E75D4">
              <w:rPr>
                <w:rFonts w:asciiTheme="majorHAnsi" w:hAnsiTheme="majorHAnsi" w:cstheme="majorHAnsi"/>
                <w:b/>
                <w:sz w:val="24"/>
                <w:szCs w:val="24"/>
              </w:rPr>
              <w:t>NO2</w:t>
            </w:r>
          </w:p>
        </w:tc>
        <w:tc>
          <w:tcPr>
            <w:tcW w:w="659" w:type="pct"/>
            <w:vMerge/>
            <w:shd w:val="clear" w:color="auto" w:fill="00B050"/>
            <w:vAlign w:val="center"/>
            <w:hideMark/>
          </w:tcPr>
          <w:p w14:paraId="2491C606" w14:textId="77777777" w:rsidR="00C03EC4" w:rsidRPr="002E75D4" w:rsidRDefault="00C03EC4" w:rsidP="000D6136">
            <w:pPr>
              <w:spacing w:before="240"/>
              <w:jc w:val="center"/>
              <w:rPr>
                <w:rFonts w:asciiTheme="majorHAnsi" w:hAnsiTheme="majorHAnsi" w:cstheme="majorHAnsi"/>
                <w:sz w:val="24"/>
                <w:szCs w:val="24"/>
              </w:rPr>
            </w:pPr>
          </w:p>
        </w:tc>
        <w:tc>
          <w:tcPr>
            <w:tcW w:w="659" w:type="pct"/>
            <w:vMerge/>
            <w:shd w:val="clear" w:color="auto" w:fill="FF0000"/>
            <w:vAlign w:val="center"/>
            <w:hideMark/>
          </w:tcPr>
          <w:p w14:paraId="0766A3E8" w14:textId="77777777" w:rsidR="00C03EC4" w:rsidRPr="002E75D4" w:rsidRDefault="00C03EC4" w:rsidP="000D6136">
            <w:pPr>
              <w:spacing w:before="240"/>
              <w:jc w:val="center"/>
              <w:rPr>
                <w:rFonts w:asciiTheme="majorHAnsi" w:hAnsiTheme="majorHAnsi" w:cstheme="majorHAnsi"/>
                <w:sz w:val="24"/>
                <w:szCs w:val="24"/>
              </w:rPr>
            </w:pPr>
          </w:p>
        </w:tc>
        <w:tc>
          <w:tcPr>
            <w:tcW w:w="665" w:type="pct"/>
            <w:vMerge/>
            <w:shd w:val="clear" w:color="auto" w:fill="ED7D31" w:themeFill="accent2"/>
            <w:vAlign w:val="center"/>
            <w:hideMark/>
          </w:tcPr>
          <w:p w14:paraId="07AAB8F3" w14:textId="77777777" w:rsidR="00C03EC4" w:rsidRPr="002E75D4" w:rsidRDefault="00C03EC4" w:rsidP="000D6136">
            <w:pPr>
              <w:spacing w:before="240"/>
              <w:jc w:val="center"/>
              <w:rPr>
                <w:rFonts w:asciiTheme="majorHAnsi" w:hAnsiTheme="majorHAnsi" w:cstheme="majorHAnsi"/>
                <w:sz w:val="24"/>
                <w:szCs w:val="24"/>
              </w:rPr>
            </w:pPr>
          </w:p>
        </w:tc>
      </w:tr>
      <w:tr w:rsidR="00C03EC4" w:rsidRPr="002E75D4" w14:paraId="5742F5DA" w14:textId="77777777" w:rsidTr="000D6136">
        <w:trPr>
          <w:trHeight w:val="57"/>
        </w:trPr>
        <w:tc>
          <w:tcPr>
            <w:tcW w:w="525" w:type="pct"/>
            <w:shd w:val="clear" w:color="auto" w:fill="FFF3F7"/>
            <w:vAlign w:val="bottom"/>
            <w:hideMark/>
          </w:tcPr>
          <w:p w14:paraId="20033E54"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2015</w:t>
            </w:r>
          </w:p>
        </w:tc>
        <w:tc>
          <w:tcPr>
            <w:tcW w:w="496" w:type="pct"/>
            <w:shd w:val="clear" w:color="auto" w:fill="D9E2F3" w:themeFill="accent1" w:themeFillTint="33"/>
            <w:vAlign w:val="bottom"/>
            <w:hideMark/>
          </w:tcPr>
          <w:p w14:paraId="377AD0F7"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15 590</w:t>
            </w:r>
          </w:p>
        </w:tc>
        <w:tc>
          <w:tcPr>
            <w:tcW w:w="665" w:type="pct"/>
            <w:shd w:val="clear" w:color="auto" w:fill="D9E2F3" w:themeFill="accent1" w:themeFillTint="33"/>
            <w:vAlign w:val="bottom"/>
            <w:hideMark/>
          </w:tcPr>
          <w:p w14:paraId="7DAF7343"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8 311,28</w:t>
            </w:r>
          </w:p>
        </w:tc>
        <w:tc>
          <w:tcPr>
            <w:tcW w:w="665" w:type="pct"/>
            <w:shd w:val="clear" w:color="auto" w:fill="FFF6DD"/>
            <w:vAlign w:val="bottom"/>
            <w:hideMark/>
          </w:tcPr>
          <w:p w14:paraId="4EE5C1E2"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20 040,48</w:t>
            </w:r>
          </w:p>
        </w:tc>
        <w:tc>
          <w:tcPr>
            <w:tcW w:w="665" w:type="pct"/>
            <w:shd w:val="clear" w:color="auto" w:fill="FFF6DD"/>
            <w:vAlign w:val="bottom"/>
            <w:hideMark/>
          </w:tcPr>
          <w:p w14:paraId="5F4BCE58"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15 335,91</w:t>
            </w:r>
          </w:p>
        </w:tc>
        <w:tc>
          <w:tcPr>
            <w:tcW w:w="659" w:type="pct"/>
            <w:shd w:val="clear" w:color="auto" w:fill="D9FFEA"/>
            <w:vAlign w:val="bottom"/>
            <w:hideMark/>
          </w:tcPr>
          <w:p w14:paraId="7A37FE9A"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35 631</w:t>
            </w:r>
          </w:p>
        </w:tc>
        <w:tc>
          <w:tcPr>
            <w:tcW w:w="659" w:type="pct"/>
            <w:shd w:val="clear" w:color="auto" w:fill="FFF3F7"/>
            <w:vAlign w:val="bottom"/>
            <w:hideMark/>
          </w:tcPr>
          <w:p w14:paraId="512F44B8"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23 647</w:t>
            </w:r>
          </w:p>
        </w:tc>
        <w:tc>
          <w:tcPr>
            <w:tcW w:w="665" w:type="pct"/>
            <w:shd w:val="clear" w:color="auto" w:fill="FBE4D5" w:themeFill="accent2" w:themeFillTint="33"/>
            <w:vAlign w:val="bottom"/>
            <w:hideMark/>
          </w:tcPr>
          <w:p w14:paraId="1D6C1A8B"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59 277,81</w:t>
            </w:r>
          </w:p>
        </w:tc>
      </w:tr>
      <w:tr w:rsidR="00C03EC4" w:rsidRPr="002E75D4" w14:paraId="4BDE9017" w14:textId="77777777" w:rsidTr="000D6136">
        <w:trPr>
          <w:trHeight w:val="57"/>
        </w:trPr>
        <w:tc>
          <w:tcPr>
            <w:tcW w:w="525" w:type="pct"/>
            <w:shd w:val="clear" w:color="auto" w:fill="FEDEE9"/>
            <w:vAlign w:val="center"/>
            <w:hideMark/>
          </w:tcPr>
          <w:p w14:paraId="3EDE7E3E"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2017</w:t>
            </w:r>
          </w:p>
        </w:tc>
        <w:tc>
          <w:tcPr>
            <w:tcW w:w="496" w:type="pct"/>
            <w:shd w:val="clear" w:color="auto" w:fill="B4C6E7" w:themeFill="accent1" w:themeFillTint="66"/>
            <w:vAlign w:val="center"/>
            <w:hideMark/>
          </w:tcPr>
          <w:p w14:paraId="789DE663"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17 233</w:t>
            </w:r>
          </w:p>
        </w:tc>
        <w:tc>
          <w:tcPr>
            <w:tcW w:w="665" w:type="pct"/>
            <w:shd w:val="clear" w:color="auto" w:fill="B4C6E7" w:themeFill="accent1" w:themeFillTint="66"/>
            <w:vAlign w:val="center"/>
            <w:hideMark/>
          </w:tcPr>
          <w:p w14:paraId="5C9C6A4F"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9 894,46</w:t>
            </w:r>
          </w:p>
        </w:tc>
        <w:tc>
          <w:tcPr>
            <w:tcW w:w="665" w:type="pct"/>
            <w:shd w:val="clear" w:color="auto" w:fill="FFE599" w:themeFill="accent4" w:themeFillTint="66"/>
            <w:vAlign w:val="center"/>
            <w:hideMark/>
          </w:tcPr>
          <w:p w14:paraId="77A74CC3"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41 133,46</w:t>
            </w:r>
          </w:p>
        </w:tc>
        <w:tc>
          <w:tcPr>
            <w:tcW w:w="665" w:type="pct"/>
            <w:shd w:val="clear" w:color="auto" w:fill="FFE599" w:themeFill="accent4" w:themeFillTint="66"/>
            <w:vAlign w:val="center"/>
            <w:hideMark/>
          </w:tcPr>
          <w:p w14:paraId="6838BC8A"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16 910,04</w:t>
            </w:r>
          </w:p>
        </w:tc>
        <w:tc>
          <w:tcPr>
            <w:tcW w:w="659" w:type="pct"/>
            <w:shd w:val="clear" w:color="auto" w:fill="ABFFD1"/>
            <w:vAlign w:val="center"/>
            <w:hideMark/>
          </w:tcPr>
          <w:p w14:paraId="63A5E2F5"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58 367</w:t>
            </w:r>
          </w:p>
        </w:tc>
        <w:tc>
          <w:tcPr>
            <w:tcW w:w="659" w:type="pct"/>
            <w:shd w:val="clear" w:color="auto" w:fill="FFDDE8"/>
            <w:vAlign w:val="center"/>
            <w:hideMark/>
          </w:tcPr>
          <w:p w14:paraId="6E00AF43"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26 804</w:t>
            </w:r>
          </w:p>
        </w:tc>
        <w:tc>
          <w:tcPr>
            <w:tcW w:w="665" w:type="pct"/>
            <w:shd w:val="clear" w:color="auto" w:fill="F7CAAC" w:themeFill="accent2" w:themeFillTint="66"/>
            <w:vAlign w:val="center"/>
            <w:hideMark/>
          </w:tcPr>
          <w:p w14:paraId="2B508A83"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85 171,00</w:t>
            </w:r>
          </w:p>
        </w:tc>
      </w:tr>
      <w:tr w:rsidR="00C03EC4" w:rsidRPr="002E75D4" w14:paraId="4CB056C3" w14:textId="77777777" w:rsidTr="000D6136">
        <w:trPr>
          <w:trHeight w:val="57"/>
        </w:trPr>
        <w:tc>
          <w:tcPr>
            <w:tcW w:w="525" w:type="pct"/>
            <w:shd w:val="clear" w:color="auto" w:fill="FFF3F7"/>
            <w:vAlign w:val="center"/>
            <w:hideMark/>
          </w:tcPr>
          <w:p w14:paraId="344AADA7"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2019</w:t>
            </w:r>
          </w:p>
        </w:tc>
        <w:tc>
          <w:tcPr>
            <w:tcW w:w="496" w:type="pct"/>
            <w:shd w:val="clear" w:color="auto" w:fill="D9E2F3" w:themeFill="accent1" w:themeFillTint="33"/>
            <w:vAlign w:val="center"/>
            <w:hideMark/>
          </w:tcPr>
          <w:p w14:paraId="2FF4BDB4"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18 465</w:t>
            </w:r>
          </w:p>
        </w:tc>
        <w:tc>
          <w:tcPr>
            <w:tcW w:w="665" w:type="pct"/>
            <w:shd w:val="clear" w:color="auto" w:fill="D9E2F3" w:themeFill="accent1" w:themeFillTint="33"/>
            <w:vAlign w:val="center"/>
            <w:hideMark/>
          </w:tcPr>
          <w:p w14:paraId="5B1E7AA8"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10 821,51</w:t>
            </w:r>
          </w:p>
        </w:tc>
        <w:tc>
          <w:tcPr>
            <w:tcW w:w="665" w:type="pct"/>
            <w:shd w:val="clear" w:color="auto" w:fill="FFF6DD"/>
            <w:vAlign w:val="center"/>
            <w:hideMark/>
          </w:tcPr>
          <w:p w14:paraId="3B5457D2"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30 266,05</w:t>
            </w:r>
          </w:p>
        </w:tc>
        <w:tc>
          <w:tcPr>
            <w:tcW w:w="665" w:type="pct"/>
            <w:shd w:val="clear" w:color="auto" w:fill="FFF6DD"/>
            <w:vAlign w:val="center"/>
            <w:hideMark/>
          </w:tcPr>
          <w:p w14:paraId="2DB9F67F"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17 795,16</w:t>
            </w:r>
          </w:p>
        </w:tc>
        <w:tc>
          <w:tcPr>
            <w:tcW w:w="659" w:type="pct"/>
            <w:shd w:val="clear" w:color="auto" w:fill="D9FFEA"/>
            <w:vAlign w:val="center"/>
            <w:hideMark/>
          </w:tcPr>
          <w:p w14:paraId="52322C7E"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48 731</w:t>
            </w:r>
          </w:p>
        </w:tc>
        <w:tc>
          <w:tcPr>
            <w:tcW w:w="659" w:type="pct"/>
            <w:shd w:val="clear" w:color="auto" w:fill="FFF3F7"/>
            <w:vAlign w:val="center"/>
            <w:hideMark/>
          </w:tcPr>
          <w:p w14:paraId="69E1CD1D"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28 617</w:t>
            </w:r>
          </w:p>
        </w:tc>
        <w:tc>
          <w:tcPr>
            <w:tcW w:w="665" w:type="pct"/>
            <w:shd w:val="clear" w:color="auto" w:fill="FBE4D5" w:themeFill="accent2" w:themeFillTint="33"/>
            <w:vAlign w:val="center"/>
            <w:hideMark/>
          </w:tcPr>
          <w:p w14:paraId="1686CE98" w14:textId="77777777" w:rsidR="00C03EC4" w:rsidRPr="002E75D4" w:rsidRDefault="00C03EC4" w:rsidP="000D6136">
            <w:pPr>
              <w:spacing w:before="240"/>
              <w:jc w:val="center"/>
              <w:rPr>
                <w:rFonts w:asciiTheme="majorHAnsi" w:hAnsiTheme="majorHAnsi" w:cstheme="majorHAnsi"/>
                <w:sz w:val="24"/>
                <w:szCs w:val="24"/>
              </w:rPr>
            </w:pPr>
            <w:r w:rsidRPr="002E75D4">
              <w:rPr>
                <w:rFonts w:asciiTheme="majorHAnsi" w:hAnsiTheme="majorHAnsi" w:cstheme="majorHAnsi"/>
                <w:sz w:val="24"/>
                <w:szCs w:val="24"/>
              </w:rPr>
              <w:t>77 347,44</w:t>
            </w:r>
          </w:p>
        </w:tc>
      </w:tr>
    </w:tbl>
    <w:p w14:paraId="23FD63DD" w14:textId="77777777" w:rsidR="00C03EC4" w:rsidRPr="002E75D4" w:rsidRDefault="00C03EC4" w:rsidP="00C03EC4">
      <w:pPr>
        <w:autoSpaceDE w:val="0"/>
        <w:autoSpaceDN w:val="0"/>
        <w:adjustRightInd w:val="0"/>
        <w:jc w:val="both"/>
        <w:rPr>
          <w:rFonts w:asciiTheme="majorHAnsi" w:hAnsiTheme="majorHAnsi" w:cstheme="majorHAnsi"/>
          <w:sz w:val="24"/>
          <w:szCs w:val="24"/>
        </w:rPr>
      </w:pPr>
      <w:r w:rsidRPr="00EA7465">
        <w:rPr>
          <w:rFonts w:asciiTheme="majorHAnsi" w:hAnsiTheme="majorHAnsi" w:cstheme="majorHAnsi"/>
          <w:b/>
          <w:sz w:val="24"/>
          <w:szCs w:val="24"/>
          <w:u w:val="single"/>
        </w:rPr>
        <w:t xml:space="preserve">Source </w:t>
      </w:r>
      <w:r w:rsidRPr="002E75D4">
        <w:rPr>
          <w:rFonts w:asciiTheme="majorHAnsi" w:hAnsiTheme="majorHAnsi" w:cstheme="majorHAnsi"/>
          <w:sz w:val="24"/>
          <w:szCs w:val="24"/>
        </w:rPr>
        <w:t xml:space="preserve">: Rapport BUR, 2019 </w:t>
      </w:r>
    </w:p>
    <w:p w14:paraId="4AECD3C6" w14:textId="77777777" w:rsidR="00C03EC4" w:rsidRDefault="00C03EC4" w:rsidP="00C03EC4">
      <w:pPr>
        <w:autoSpaceDE w:val="0"/>
        <w:autoSpaceDN w:val="0"/>
        <w:adjustRightInd w:val="0"/>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anchor distT="0" distB="0" distL="114300" distR="114300" simplePos="0" relativeHeight="251665408" behindDoc="0" locked="0" layoutInCell="1" allowOverlap="1" wp14:anchorId="66F7ACD4" wp14:editId="46AE2BCA">
            <wp:simplePos x="0" y="0"/>
            <wp:positionH relativeFrom="margin">
              <wp:posOffset>8890</wp:posOffset>
            </wp:positionH>
            <wp:positionV relativeFrom="margin">
              <wp:posOffset>5551747</wp:posOffset>
            </wp:positionV>
            <wp:extent cx="6150610" cy="2238375"/>
            <wp:effectExtent l="0" t="0" r="2540" b="0"/>
            <wp:wrapSquare wrapText="bothSides"/>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2E75D4">
        <w:rPr>
          <w:rFonts w:asciiTheme="majorHAnsi" w:hAnsiTheme="majorHAnsi" w:cstheme="majorHAnsi"/>
          <w:sz w:val="24"/>
          <w:szCs w:val="24"/>
        </w:rPr>
        <w:t>Les émissions globales de GES au niveau du secteur de l’agriculture sont de 77 347 KT eq CO2. Les figures 7 et 8 résument la répartition des émissions par sous-secteur et par type de gaz.</w:t>
      </w:r>
    </w:p>
    <w:p w14:paraId="7A853F7F" w14:textId="77777777" w:rsidR="00C03EC4" w:rsidRPr="00D05CD4" w:rsidRDefault="00C03EC4" w:rsidP="00C03EC4">
      <w:pPr>
        <w:rPr>
          <w:rFonts w:asciiTheme="majorHAnsi" w:hAnsiTheme="majorHAnsi" w:cstheme="majorHAnsi"/>
          <w:sz w:val="24"/>
          <w:szCs w:val="24"/>
        </w:rPr>
      </w:pPr>
    </w:p>
    <w:p w14:paraId="64E1F2E8" w14:textId="77777777" w:rsidR="00C03EC4" w:rsidRPr="00D05CD4" w:rsidRDefault="00C03EC4" w:rsidP="00C03EC4">
      <w:pPr>
        <w:rPr>
          <w:rFonts w:asciiTheme="majorHAnsi" w:hAnsiTheme="majorHAnsi" w:cstheme="majorHAnsi"/>
          <w:sz w:val="24"/>
          <w:szCs w:val="24"/>
        </w:rPr>
      </w:pPr>
    </w:p>
    <w:p w14:paraId="4B308D37" w14:textId="77777777" w:rsidR="00C03EC4" w:rsidRDefault="00C03EC4" w:rsidP="00C03EC4">
      <w:pPr>
        <w:pStyle w:val="Lgende"/>
        <w:ind w:left="708" w:right="650" w:firstLine="708"/>
        <w:rPr>
          <w:rFonts w:asciiTheme="majorHAnsi" w:eastAsia="Calibri" w:hAnsiTheme="majorHAnsi" w:cstheme="majorHAnsi"/>
          <w:b w:val="0"/>
          <w:bCs w:val="0"/>
          <w:szCs w:val="24"/>
        </w:rPr>
      </w:pPr>
      <w:r w:rsidRPr="007C42D7">
        <w:rPr>
          <w:rFonts w:asciiTheme="majorHAnsi" w:hAnsiTheme="majorHAnsi" w:cstheme="majorHAnsi"/>
          <w:bCs w:val="0"/>
          <w:sz w:val="22"/>
          <w:szCs w:val="24"/>
          <w:u w:val="single"/>
        </w:rPr>
        <w:t>Figure 8</w:t>
      </w:r>
      <w:r w:rsidRPr="002E75D4">
        <w:rPr>
          <w:rFonts w:asciiTheme="majorHAnsi" w:hAnsiTheme="majorHAnsi" w:cstheme="majorHAnsi"/>
          <w:bCs w:val="0"/>
          <w:sz w:val="22"/>
          <w:szCs w:val="24"/>
        </w:rPr>
        <w:t xml:space="preserve"> </w:t>
      </w:r>
      <w:r w:rsidRPr="002E75D4">
        <w:rPr>
          <w:rFonts w:asciiTheme="majorHAnsi" w:eastAsia="Calibri" w:hAnsiTheme="majorHAnsi" w:cstheme="majorHAnsi"/>
          <w:bCs w:val="0"/>
          <w:sz w:val="24"/>
          <w:szCs w:val="24"/>
        </w:rPr>
        <w:t>:</w:t>
      </w:r>
      <w:r w:rsidRPr="002E75D4">
        <w:rPr>
          <w:rFonts w:asciiTheme="majorHAnsi" w:eastAsia="Calibri" w:hAnsiTheme="majorHAnsi" w:cstheme="majorHAnsi"/>
          <w:b w:val="0"/>
          <w:bCs w:val="0"/>
          <w:sz w:val="24"/>
          <w:szCs w:val="24"/>
        </w:rPr>
        <w:t xml:space="preserve"> </w:t>
      </w:r>
      <w:r w:rsidRPr="002E75D4">
        <w:rPr>
          <w:rFonts w:asciiTheme="majorHAnsi" w:eastAsia="Calibri" w:hAnsiTheme="majorHAnsi" w:cstheme="majorHAnsi"/>
          <w:b w:val="0"/>
          <w:bCs w:val="0"/>
          <w:szCs w:val="24"/>
        </w:rPr>
        <w:t>répartition des émissions par sous-secteur et par type de gaz</w:t>
      </w:r>
    </w:p>
    <w:p w14:paraId="20A65624" w14:textId="77777777" w:rsidR="00C03EC4" w:rsidRPr="00D05CD4" w:rsidRDefault="00C03EC4" w:rsidP="00C03EC4">
      <w:pPr>
        <w:tabs>
          <w:tab w:val="left" w:pos="2254"/>
        </w:tabs>
        <w:rPr>
          <w:rFonts w:asciiTheme="majorHAnsi" w:hAnsiTheme="majorHAnsi" w:cstheme="majorHAnsi"/>
          <w:sz w:val="24"/>
          <w:szCs w:val="24"/>
        </w:rPr>
      </w:pPr>
    </w:p>
    <w:p w14:paraId="284370C8" w14:textId="77777777" w:rsidR="00C03EC4" w:rsidRPr="00D05CD4" w:rsidRDefault="00C03EC4" w:rsidP="00C03EC4">
      <w:pPr>
        <w:rPr>
          <w:rFonts w:asciiTheme="majorHAnsi" w:hAnsiTheme="majorHAnsi" w:cstheme="majorHAnsi"/>
          <w:sz w:val="24"/>
          <w:szCs w:val="24"/>
        </w:rPr>
      </w:pPr>
    </w:p>
    <w:p w14:paraId="3E4A69FF" w14:textId="77777777" w:rsidR="00C03EC4" w:rsidRPr="002E75D4" w:rsidRDefault="00C03EC4" w:rsidP="00C03EC4">
      <w:pPr>
        <w:autoSpaceDE w:val="0"/>
        <w:autoSpaceDN w:val="0"/>
        <w:adjustRightInd w:val="0"/>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inline distT="0" distB="0" distL="0" distR="0" wp14:anchorId="22D2B801" wp14:editId="08E9CD1E">
            <wp:extent cx="6120441" cy="2346385"/>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D11E19" w14:textId="77777777" w:rsidR="00C03EC4" w:rsidRPr="00D05CD4" w:rsidRDefault="00C03EC4" w:rsidP="00C03EC4">
      <w:pPr>
        <w:rPr>
          <w:rFonts w:eastAsia="Calibri"/>
        </w:rPr>
      </w:pPr>
      <w:r w:rsidRPr="00D05CD4">
        <w:rPr>
          <w:rFonts w:eastAsia="Calibri"/>
          <w:b/>
          <w:u w:val="single"/>
        </w:rPr>
        <w:t>Figure 9</w:t>
      </w:r>
      <w:r>
        <w:rPr>
          <w:rFonts w:eastAsia="Calibri"/>
        </w:rPr>
        <w:t xml:space="preserve"> : </w:t>
      </w:r>
      <w:r w:rsidRPr="002E75D4">
        <w:rPr>
          <w:rFonts w:asciiTheme="majorHAnsi" w:hAnsiTheme="majorHAnsi" w:cstheme="majorHAnsi"/>
          <w:szCs w:val="24"/>
        </w:rPr>
        <w:t>Répartition des émissions par sous-secteur</w:t>
      </w:r>
    </w:p>
    <w:p w14:paraId="3C7C8358" w14:textId="77777777" w:rsidR="00C03EC4" w:rsidRPr="00F24A9E" w:rsidRDefault="00C03EC4" w:rsidP="00C03EC4">
      <w:pPr>
        <w:autoSpaceDE w:val="0"/>
        <w:autoSpaceDN w:val="0"/>
        <w:adjustRightInd w:val="0"/>
        <w:jc w:val="both"/>
        <w:rPr>
          <w:rFonts w:asciiTheme="majorHAnsi" w:eastAsia="Calibri" w:hAnsiTheme="majorHAnsi" w:cstheme="majorHAnsi"/>
          <w:bCs/>
          <w:sz w:val="24"/>
          <w:szCs w:val="24"/>
        </w:rPr>
      </w:pPr>
      <w:r w:rsidRPr="00F24A9E">
        <w:rPr>
          <w:rFonts w:asciiTheme="majorHAnsi" w:eastAsia="Calibri" w:hAnsiTheme="majorHAnsi" w:cstheme="majorHAnsi"/>
          <w:bCs/>
          <w:sz w:val="24"/>
          <w:szCs w:val="24"/>
        </w:rPr>
        <w:t>La situation des émissions de GES par sous-secteur et par type de gaz fait ressortir les proportions suivantes :</w:t>
      </w:r>
    </w:p>
    <w:p w14:paraId="0FC78DC7" w14:textId="77777777" w:rsidR="00C03EC4" w:rsidRPr="002E75D4" w:rsidRDefault="00C03EC4" w:rsidP="00C03EC4">
      <w:pPr>
        <w:pStyle w:val="Paragraphedeliste"/>
        <w:numPr>
          <w:ilvl w:val="0"/>
          <w:numId w:val="5"/>
        </w:numPr>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Pour l’agriculture : les émissions de CH4 représentent 49% contre 20% pour le NO2 ;</w:t>
      </w:r>
    </w:p>
    <w:p w14:paraId="7596D7B8" w14:textId="77777777" w:rsidR="00C03EC4" w:rsidRPr="002E75D4" w:rsidRDefault="00C03EC4" w:rsidP="00C03EC4">
      <w:pPr>
        <w:pStyle w:val="Paragraphedeliste"/>
        <w:numPr>
          <w:ilvl w:val="0"/>
          <w:numId w:val="5"/>
        </w:numPr>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Pour le sous- secteur de l’élevage : les émissions de CH4 représentent 20% contre 11% pour le NO2,</w:t>
      </w:r>
    </w:p>
    <w:p w14:paraId="36DE922C" w14:textId="77777777" w:rsidR="00C03EC4" w:rsidRDefault="00C03EC4" w:rsidP="00C03EC4">
      <w:pPr>
        <w:pStyle w:val="Paragraphedeliste"/>
        <w:numPr>
          <w:ilvl w:val="0"/>
          <w:numId w:val="5"/>
        </w:numPr>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Production du NO2 dans le sous- secteur de l’Agriculture 20% du total de gaz produit</w:t>
      </w:r>
      <w:r>
        <w:rPr>
          <w:rFonts w:asciiTheme="majorHAnsi" w:eastAsia="Calibri" w:hAnsiTheme="majorHAnsi" w:cstheme="majorHAnsi"/>
          <w:sz w:val="24"/>
          <w:szCs w:val="24"/>
        </w:rPr>
        <w:t>.</w:t>
      </w:r>
    </w:p>
    <w:p w14:paraId="139A8438" w14:textId="77777777" w:rsidR="00C03EC4" w:rsidRPr="00D05CD4" w:rsidRDefault="00C03EC4" w:rsidP="00C03EC4">
      <w:pPr>
        <w:jc w:val="both"/>
        <w:rPr>
          <w:rFonts w:asciiTheme="majorHAnsi" w:eastAsia="Calibri" w:hAnsiTheme="majorHAnsi" w:cstheme="majorHAnsi"/>
          <w:sz w:val="24"/>
          <w:szCs w:val="24"/>
        </w:rPr>
      </w:pPr>
      <w:r w:rsidRPr="00D05CD4">
        <w:rPr>
          <w:rFonts w:asciiTheme="majorHAnsi" w:eastAsia="Calibri" w:hAnsiTheme="majorHAnsi" w:cstheme="majorHAnsi"/>
          <w:sz w:val="24"/>
          <w:szCs w:val="24"/>
        </w:rPr>
        <w:t>La synthèse des émissions de GES par sous-secteur montre que le secteur de l’agriculture</w:t>
      </w:r>
      <w:r w:rsidRPr="00D05CD4">
        <w:rPr>
          <w:rFonts w:asciiTheme="majorHAnsi" w:hAnsiTheme="majorHAnsi" w:cstheme="majorHAnsi"/>
        </w:rPr>
        <w:t xml:space="preserve"> et </w:t>
      </w:r>
      <w:r w:rsidRPr="00D05CD4">
        <w:rPr>
          <w:rFonts w:asciiTheme="majorHAnsi" w:eastAsia="Calibri" w:hAnsiTheme="majorHAnsi" w:cstheme="majorHAnsi"/>
          <w:sz w:val="24"/>
          <w:szCs w:val="24"/>
        </w:rPr>
        <w:t>de l’élevage représente respectivement 69 % et 31% du total des gaz produits.</w:t>
      </w:r>
    </w:p>
    <w:p w14:paraId="29CF10D7" w14:textId="77777777" w:rsidR="00C03EC4" w:rsidRPr="002E75D4" w:rsidRDefault="00C03EC4" w:rsidP="00C03EC4">
      <w:pPr>
        <w:autoSpaceDE w:val="0"/>
        <w:autoSpaceDN w:val="0"/>
        <w:adjustRightInd w:val="0"/>
        <w:spacing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Les mesures d'atténuation des émissions de GES dans le secteur de l’Agriculture porteront sur ces deux (02) sous-secteurs (agriculture et élevage).</w:t>
      </w:r>
    </w:p>
    <w:p w14:paraId="07C5E04D" w14:textId="77777777" w:rsidR="00C03EC4" w:rsidRPr="005F51BC" w:rsidRDefault="00C03EC4" w:rsidP="00C03EC4">
      <w:pPr>
        <w:pStyle w:val="Paragraphedeliste"/>
        <w:numPr>
          <w:ilvl w:val="2"/>
          <w:numId w:val="68"/>
        </w:numPr>
        <w:autoSpaceDE w:val="0"/>
        <w:autoSpaceDN w:val="0"/>
        <w:adjustRightInd w:val="0"/>
        <w:rPr>
          <w:rFonts w:asciiTheme="majorHAnsi" w:eastAsia="Calibri" w:hAnsiTheme="majorHAnsi" w:cstheme="majorHAnsi"/>
          <w:b/>
          <w:sz w:val="30"/>
          <w:szCs w:val="30"/>
        </w:rPr>
      </w:pPr>
      <w:r w:rsidRPr="005F51BC">
        <w:rPr>
          <w:rFonts w:asciiTheme="majorHAnsi" w:eastAsia="Calibri" w:hAnsiTheme="majorHAnsi" w:cstheme="majorHAnsi"/>
          <w:b/>
          <w:sz w:val="30"/>
          <w:szCs w:val="30"/>
        </w:rPr>
        <w:t xml:space="preserve"> Secteur des Changements d’Affectation des Terres et de la Foresterie</w:t>
      </w:r>
    </w:p>
    <w:p w14:paraId="4D3A956E" w14:textId="77777777" w:rsidR="00C03EC4" w:rsidRPr="005F51BC" w:rsidRDefault="00C03EC4" w:rsidP="00C03EC4">
      <w:pPr>
        <w:pStyle w:val="Titre1"/>
        <w:spacing w:before="120"/>
        <w:jc w:val="both"/>
        <w:rPr>
          <w:rFonts w:asciiTheme="majorHAnsi" w:eastAsia="Calibri" w:hAnsiTheme="majorHAnsi" w:cstheme="majorHAnsi"/>
          <w:sz w:val="24"/>
          <w:szCs w:val="24"/>
        </w:rPr>
      </w:pPr>
      <w:bookmarkStart w:id="3" w:name="_Toc53093908"/>
      <w:r w:rsidRPr="005F51BC">
        <w:rPr>
          <w:rFonts w:asciiTheme="majorHAnsi" w:eastAsia="Calibri" w:hAnsiTheme="majorHAnsi" w:cstheme="majorHAnsi"/>
          <w:sz w:val="24"/>
          <w:szCs w:val="24"/>
        </w:rPr>
        <w:t xml:space="preserve">Caractérisation du Secteur de la Foresterie </w:t>
      </w:r>
      <w:bookmarkEnd w:id="3"/>
      <w:r w:rsidRPr="005F51BC">
        <w:rPr>
          <w:rFonts w:asciiTheme="majorHAnsi" w:hAnsiTheme="majorHAnsi" w:cstheme="majorHAnsi"/>
          <w:sz w:val="24"/>
          <w:szCs w:val="24"/>
        </w:rPr>
        <w:t>et des Écosystèmes</w:t>
      </w:r>
    </w:p>
    <w:p w14:paraId="5B838449" w14:textId="77777777" w:rsidR="00C03EC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Le secteur de la foresterie représente la composante séquestration dans le calcul des bilans des émissions de GES en matière de changements climatiques. Cette composante est essentiellement constituée par les superficies des formations forestières et les potentialités des ressources forestières. Elle comporte les domaines classés (forêts classées, les aires protégées) et non classés (domaine protégé) de l’Etat et celui des particuliers.</w:t>
      </w:r>
    </w:p>
    <w:p w14:paraId="5F76D0DD"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Au Mali, le secteur de la foresterie est au cœur des systèmes de production et de consommation de l’économie. En effet, l’économie nationale repose sur le secteur primaire constitué par l’agriculture, l’élevage, la foresterie et la pêche. Ces activités réunies sont consommatrices de carbones et émettent de GES plus que tout autre secteur de développement de l’économie. Ce qui fait que le secteur de la foresterie subit plus les impacts des productions de l’agriculture et de l’élevage sur son stock de carbone.</w:t>
      </w:r>
    </w:p>
    <w:p w14:paraId="6C37A126" w14:textId="77777777" w:rsidR="00C03EC4" w:rsidRPr="00A021BD" w:rsidRDefault="00C03EC4" w:rsidP="00C03EC4">
      <w:pPr>
        <w:jc w:val="both"/>
        <w:rPr>
          <w:rFonts w:asciiTheme="majorHAnsi" w:hAnsiTheme="majorHAnsi" w:cstheme="majorHAnsi"/>
          <w:bCs/>
          <w:spacing w:val="-1"/>
          <w:sz w:val="24"/>
          <w:szCs w:val="24"/>
        </w:rPr>
      </w:pPr>
      <w:r w:rsidRPr="00A021BD">
        <w:rPr>
          <w:rFonts w:asciiTheme="majorHAnsi" w:hAnsiTheme="majorHAnsi" w:cstheme="majorHAnsi"/>
          <w:bCs/>
          <w:sz w:val="24"/>
          <w:szCs w:val="24"/>
        </w:rPr>
        <w:t>Les sources d’émissions de ce</w:t>
      </w:r>
      <w:r w:rsidRPr="00A021BD">
        <w:rPr>
          <w:rFonts w:asciiTheme="majorHAnsi" w:hAnsiTheme="majorHAnsi" w:cstheme="majorHAnsi"/>
          <w:bCs/>
          <w:spacing w:val="7"/>
          <w:sz w:val="24"/>
          <w:szCs w:val="24"/>
        </w:rPr>
        <w:t xml:space="preserve"> </w:t>
      </w:r>
      <w:r w:rsidRPr="00A021BD">
        <w:rPr>
          <w:rFonts w:asciiTheme="majorHAnsi" w:hAnsiTheme="majorHAnsi" w:cstheme="majorHAnsi"/>
          <w:bCs/>
          <w:sz w:val="24"/>
          <w:szCs w:val="24"/>
        </w:rPr>
        <w:t>secteur</w:t>
      </w:r>
      <w:r w:rsidRPr="00A021BD">
        <w:rPr>
          <w:rFonts w:asciiTheme="majorHAnsi" w:hAnsiTheme="majorHAnsi" w:cstheme="majorHAnsi"/>
          <w:bCs/>
          <w:spacing w:val="7"/>
          <w:sz w:val="24"/>
          <w:szCs w:val="24"/>
        </w:rPr>
        <w:t xml:space="preserve"> </w:t>
      </w:r>
      <w:r w:rsidRPr="00A021BD">
        <w:rPr>
          <w:rFonts w:asciiTheme="majorHAnsi" w:hAnsiTheme="majorHAnsi" w:cstheme="majorHAnsi"/>
          <w:bCs/>
          <w:sz w:val="24"/>
          <w:szCs w:val="24"/>
        </w:rPr>
        <w:t>sont</w:t>
      </w:r>
      <w:r w:rsidRPr="00A021BD">
        <w:rPr>
          <w:rFonts w:asciiTheme="majorHAnsi" w:hAnsiTheme="majorHAnsi" w:cstheme="majorHAnsi"/>
          <w:bCs/>
          <w:spacing w:val="-1"/>
          <w:sz w:val="24"/>
          <w:szCs w:val="24"/>
        </w:rPr>
        <w:t xml:space="preserve"> les suivantes :</w:t>
      </w:r>
    </w:p>
    <w:p w14:paraId="2D2E1A1A" w14:textId="77777777" w:rsidR="00C03EC4" w:rsidRPr="002E75D4" w:rsidRDefault="00C03EC4" w:rsidP="00C03EC4">
      <w:pPr>
        <w:pStyle w:val="Paragraphedeliste"/>
        <w:numPr>
          <w:ilvl w:val="0"/>
          <w:numId w:val="31"/>
        </w:numPr>
        <w:spacing w:after="160" w:line="259" w:lineRule="auto"/>
        <w:jc w:val="both"/>
        <w:rPr>
          <w:rFonts w:asciiTheme="majorHAnsi" w:hAnsiTheme="majorHAnsi" w:cstheme="majorHAnsi"/>
          <w:spacing w:val="-1"/>
          <w:sz w:val="24"/>
          <w:szCs w:val="24"/>
        </w:rPr>
      </w:pPr>
      <w:r w:rsidRPr="002E75D4">
        <w:rPr>
          <w:rFonts w:asciiTheme="majorHAnsi" w:hAnsiTheme="majorHAnsi" w:cstheme="majorHAnsi"/>
          <w:spacing w:val="-1"/>
          <w:sz w:val="24"/>
          <w:szCs w:val="24"/>
        </w:rPr>
        <w:t>les types d’occupations et d’utilisations des terres et leur changement d’affectation dans le temps et l’espace dans le cadre de leur gestion ;</w:t>
      </w:r>
    </w:p>
    <w:p w14:paraId="5CAC357B" w14:textId="77777777" w:rsidR="00C03EC4" w:rsidRPr="002E75D4" w:rsidRDefault="00C03EC4" w:rsidP="00C03EC4">
      <w:pPr>
        <w:pStyle w:val="Paragraphedeliste"/>
        <w:numPr>
          <w:ilvl w:val="0"/>
          <w:numId w:val="31"/>
        </w:numPr>
        <w:spacing w:after="160" w:line="259" w:lineRule="auto"/>
        <w:jc w:val="both"/>
        <w:rPr>
          <w:rFonts w:asciiTheme="majorHAnsi" w:hAnsiTheme="majorHAnsi" w:cstheme="majorHAnsi"/>
          <w:spacing w:val="-1"/>
          <w:sz w:val="24"/>
          <w:szCs w:val="24"/>
        </w:rPr>
      </w:pPr>
      <w:r w:rsidRPr="002E75D4">
        <w:rPr>
          <w:rFonts w:asciiTheme="majorHAnsi" w:hAnsiTheme="majorHAnsi" w:cstheme="majorHAnsi"/>
          <w:spacing w:val="-1"/>
          <w:sz w:val="24"/>
          <w:szCs w:val="24"/>
        </w:rPr>
        <w:t>les activités d’exploitation des ressources forestières et les modes de gestion des terres ;</w:t>
      </w:r>
    </w:p>
    <w:p w14:paraId="558C87F3" w14:textId="77777777" w:rsidR="00C03EC4" w:rsidRPr="002E75D4" w:rsidRDefault="00C03EC4" w:rsidP="00C03EC4">
      <w:pPr>
        <w:pStyle w:val="Paragraphedeliste"/>
        <w:numPr>
          <w:ilvl w:val="0"/>
          <w:numId w:val="31"/>
        </w:numPr>
        <w:spacing w:after="160" w:line="259" w:lineRule="auto"/>
        <w:jc w:val="both"/>
        <w:rPr>
          <w:rFonts w:asciiTheme="majorHAnsi" w:hAnsiTheme="majorHAnsi" w:cstheme="majorHAnsi"/>
          <w:spacing w:val="-1"/>
          <w:sz w:val="24"/>
          <w:szCs w:val="24"/>
        </w:rPr>
      </w:pPr>
      <w:r w:rsidRPr="002E75D4">
        <w:rPr>
          <w:rFonts w:asciiTheme="majorHAnsi" w:hAnsiTheme="majorHAnsi" w:cstheme="majorHAnsi"/>
          <w:spacing w:val="-1"/>
          <w:sz w:val="24"/>
          <w:szCs w:val="24"/>
        </w:rPr>
        <w:t>les feux de brousse qui ravagent les formations végétales des différents types d’occupations de sols.</w:t>
      </w:r>
    </w:p>
    <w:p w14:paraId="0B484E12" w14:textId="77777777" w:rsidR="00C03EC4" w:rsidRPr="002E75D4" w:rsidRDefault="00C03EC4" w:rsidP="00C03EC4">
      <w:pPr>
        <w:jc w:val="both"/>
        <w:rPr>
          <w:rStyle w:val="Accentuation"/>
          <w:rFonts w:asciiTheme="majorHAnsi" w:hAnsiTheme="majorHAnsi" w:cstheme="majorHAnsi"/>
          <w:b w:val="0"/>
          <w:bCs w:val="0"/>
          <w:i w:val="0"/>
          <w:iCs w:val="0"/>
          <w:spacing w:val="-1"/>
          <w:sz w:val="24"/>
          <w:szCs w:val="24"/>
        </w:rPr>
      </w:pPr>
      <w:r w:rsidRPr="002E75D4">
        <w:rPr>
          <w:rFonts w:asciiTheme="majorHAnsi" w:hAnsiTheme="majorHAnsi" w:cstheme="majorHAnsi"/>
          <w:spacing w:val="-1"/>
          <w:sz w:val="24"/>
          <w:szCs w:val="24"/>
        </w:rPr>
        <w:t>Les différentes données sur ces sources interviennent dans le calcul du bilan des émissions de GES.</w:t>
      </w:r>
      <w:bookmarkStart w:id="4" w:name="_Toc53093909"/>
    </w:p>
    <w:p w14:paraId="6FE7C561" w14:textId="77777777" w:rsidR="00C03EC4" w:rsidRPr="00A021BD" w:rsidRDefault="00C03EC4" w:rsidP="00C03EC4">
      <w:pPr>
        <w:jc w:val="both"/>
        <w:rPr>
          <w:rFonts w:cstheme="minorHAnsi"/>
          <w:bCs/>
          <w:spacing w:val="-1"/>
          <w:sz w:val="24"/>
          <w:szCs w:val="24"/>
        </w:rPr>
      </w:pPr>
      <w:r w:rsidRPr="00A021BD">
        <w:rPr>
          <w:rFonts w:cstheme="minorHAnsi"/>
          <w:bCs/>
          <w:sz w:val="24"/>
          <w:szCs w:val="24"/>
        </w:rPr>
        <w:t>Les types d’occupations et d’utilisations des terres</w:t>
      </w:r>
      <w:bookmarkEnd w:id="4"/>
    </w:p>
    <w:p w14:paraId="298C06F6" w14:textId="77777777" w:rsidR="00C03EC4" w:rsidRPr="002E75D4" w:rsidRDefault="00C03EC4" w:rsidP="00C03EC4">
      <w:pPr>
        <w:spacing w:before="240"/>
        <w:jc w:val="both"/>
        <w:rPr>
          <w:rFonts w:asciiTheme="majorHAnsi" w:hAnsiTheme="majorHAnsi" w:cstheme="majorHAnsi"/>
          <w:sz w:val="24"/>
          <w:szCs w:val="24"/>
        </w:rPr>
      </w:pPr>
      <w:r w:rsidRPr="002E75D4">
        <w:rPr>
          <w:rFonts w:asciiTheme="majorHAnsi" w:hAnsiTheme="majorHAnsi" w:cstheme="majorHAnsi"/>
          <w:sz w:val="24"/>
          <w:szCs w:val="24"/>
        </w:rPr>
        <w:t>Les</w:t>
      </w:r>
      <w:r w:rsidRPr="002E75D4">
        <w:rPr>
          <w:rFonts w:asciiTheme="majorHAnsi" w:hAnsiTheme="majorHAnsi" w:cstheme="majorHAnsi"/>
          <w:spacing w:val="61"/>
          <w:sz w:val="24"/>
          <w:szCs w:val="24"/>
        </w:rPr>
        <w:t xml:space="preserve"> </w:t>
      </w:r>
      <w:r w:rsidRPr="002E75D4">
        <w:rPr>
          <w:rFonts w:asciiTheme="majorHAnsi" w:hAnsiTheme="majorHAnsi" w:cstheme="majorHAnsi"/>
          <w:spacing w:val="-1"/>
          <w:sz w:val="24"/>
          <w:szCs w:val="24"/>
        </w:rPr>
        <w:t>types d’occupations et d’utilisations</w:t>
      </w:r>
      <w:r w:rsidRPr="002E75D4">
        <w:rPr>
          <w:rFonts w:asciiTheme="majorHAnsi" w:hAnsiTheme="majorHAnsi" w:cstheme="majorHAnsi"/>
          <w:spacing w:val="55"/>
          <w:sz w:val="24"/>
          <w:szCs w:val="24"/>
        </w:rPr>
        <w:t xml:space="preserve"> </w:t>
      </w:r>
      <w:r w:rsidRPr="002E75D4">
        <w:rPr>
          <w:rFonts w:asciiTheme="majorHAnsi" w:hAnsiTheme="majorHAnsi" w:cstheme="majorHAnsi"/>
          <w:spacing w:val="-1"/>
          <w:sz w:val="24"/>
          <w:szCs w:val="24"/>
        </w:rPr>
        <w:t>des</w:t>
      </w:r>
      <w:r w:rsidRPr="002E75D4">
        <w:rPr>
          <w:rFonts w:asciiTheme="majorHAnsi" w:hAnsiTheme="majorHAnsi" w:cstheme="majorHAnsi"/>
          <w:spacing w:val="55"/>
          <w:sz w:val="24"/>
          <w:szCs w:val="24"/>
        </w:rPr>
        <w:t xml:space="preserve"> </w:t>
      </w:r>
      <w:r w:rsidRPr="002E75D4">
        <w:rPr>
          <w:rFonts w:asciiTheme="majorHAnsi" w:hAnsiTheme="majorHAnsi" w:cstheme="majorHAnsi"/>
          <w:sz w:val="24"/>
          <w:szCs w:val="24"/>
        </w:rPr>
        <w:t>terres sont constitués par : les terres forestières, les terres agricoles, les parcours pastoraux et pâturages, les terres humides, les espaces bâtis et urbanisés, et autres terres. Le tableau 5 ci-après récapitule la situation des superficies des six catégories de terres (en milliers d’ha) 2015- 2020.</w:t>
      </w:r>
      <w:bookmarkStart w:id="5" w:name="_Toc53093922"/>
    </w:p>
    <w:p w14:paraId="7BF3D46B" w14:textId="77777777" w:rsidR="00C03EC4" w:rsidRPr="002E75D4" w:rsidRDefault="00C03EC4" w:rsidP="00C03EC4">
      <w:pPr>
        <w:pStyle w:val="Lgende"/>
        <w:spacing w:after="120"/>
        <w:rPr>
          <w:rFonts w:asciiTheme="majorHAnsi" w:hAnsiTheme="majorHAnsi" w:cstheme="majorHAnsi"/>
          <w:b w:val="0"/>
          <w:bCs w:val="0"/>
          <w:sz w:val="24"/>
          <w:szCs w:val="24"/>
        </w:rPr>
      </w:pPr>
      <w:r w:rsidRPr="007C42D7">
        <w:rPr>
          <w:rFonts w:asciiTheme="majorHAnsi" w:hAnsiTheme="majorHAnsi" w:cstheme="majorHAnsi"/>
          <w:sz w:val="24"/>
          <w:szCs w:val="24"/>
          <w:u w:val="single"/>
        </w:rPr>
        <w:t xml:space="preserve">Tableau </w:t>
      </w:r>
      <w:r w:rsidRPr="007C42D7">
        <w:rPr>
          <w:rFonts w:asciiTheme="majorHAnsi" w:hAnsiTheme="majorHAnsi" w:cstheme="majorHAnsi"/>
          <w:noProof/>
          <w:sz w:val="24"/>
          <w:szCs w:val="24"/>
          <w:u w:val="single"/>
        </w:rPr>
        <w:t>5</w:t>
      </w:r>
      <w:r w:rsidRPr="002E75D4">
        <w:rPr>
          <w:rFonts w:asciiTheme="majorHAnsi" w:hAnsiTheme="majorHAnsi" w:cstheme="majorHAnsi"/>
          <w:bCs w:val="0"/>
          <w:sz w:val="24"/>
          <w:szCs w:val="24"/>
        </w:rPr>
        <w:t xml:space="preserve"> :</w:t>
      </w:r>
      <w:r w:rsidRPr="002E75D4">
        <w:rPr>
          <w:rFonts w:asciiTheme="majorHAnsi" w:hAnsiTheme="majorHAnsi" w:cstheme="majorHAnsi"/>
          <w:b w:val="0"/>
          <w:bCs w:val="0"/>
          <w:sz w:val="24"/>
          <w:szCs w:val="24"/>
        </w:rPr>
        <w:t xml:space="preserve"> superficies des types de terres (en millier d’ha) de 2015 -2020</w:t>
      </w:r>
      <w:bookmarkEnd w:id="5"/>
    </w:p>
    <w:tbl>
      <w:tblPr>
        <w:tblStyle w:val="Grillemoyenne3-Accent1"/>
        <w:tblW w:w="0" w:type="auto"/>
        <w:tblLook w:val="0420" w:firstRow="1" w:lastRow="0" w:firstColumn="0" w:lastColumn="0" w:noHBand="0" w:noVBand="1"/>
      </w:tblPr>
      <w:tblGrid>
        <w:gridCol w:w="3319"/>
        <w:gridCol w:w="1059"/>
        <w:gridCol w:w="1059"/>
        <w:gridCol w:w="1059"/>
        <w:gridCol w:w="1005"/>
        <w:gridCol w:w="1059"/>
        <w:gridCol w:w="1059"/>
      </w:tblGrid>
      <w:tr w:rsidR="00C03EC4" w:rsidRPr="002E75D4" w14:paraId="6B201059" w14:textId="77777777" w:rsidTr="000D6136">
        <w:trPr>
          <w:cnfStyle w:val="100000000000" w:firstRow="1" w:lastRow="0" w:firstColumn="0" w:lastColumn="0" w:oddVBand="0" w:evenVBand="0" w:oddHBand="0" w:evenHBand="0" w:firstRowFirstColumn="0" w:firstRowLastColumn="0" w:lastRowFirstColumn="0" w:lastRowLastColumn="0"/>
          <w:trHeight w:val="365"/>
        </w:trPr>
        <w:tc>
          <w:tcPr>
            <w:tcW w:w="0" w:type="auto"/>
            <w:tcBorders>
              <w:bottom w:val="single" w:sz="8" w:space="0" w:color="FFFFFF" w:themeColor="background1"/>
            </w:tcBorders>
            <w:shd w:val="clear" w:color="auto" w:fill="000000" w:themeFill="text1"/>
            <w:vAlign w:val="top"/>
            <w:hideMark/>
          </w:tcPr>
          <w:p w14:paraId="542910E5" w14:textId="77777777" w:rsidR="00C03EC4" w:rsidRPr="002E75D4" w:rsidRDefault="00C03EC4" w:rsidP="000D6136">
            <w:pPr>
              <w:spacing w:after="120"/>
              <w:rPr>
                <w:rFonts w:asciiTheme="majorHAnsi" w:hAnsiTheme="majorHAnsi" w:cstheme="majorHAnsi"/>
                <w:b w:val="0"/>
                <w:bCs w:val="0"/>
                <w:color w:val="auto"/>
                <w:sz w:val="24"/>
                <w:szCs w:val="24"/>
              </w:rPr>
            </w:pPr>
            <w:r w:rsidRPr="002E75D4">
              <w:rPr>
                <w:rFonts w:asciiTheme="majorHAnsi" w:hAnsiTheme="majorHAnsi" w:cstheme="majorHAnsi"/>
                <w:b w:val="0"/>
                <w:bCs w:val="0"/>
                <w:color w:val="auto"/>
                <w:sz w:val="24"/>
                <w:szCs w:val="24"/>
              </w:rPr>
              <w:t>Catégories de terres</w:t>
            </w:r>
          </w:p>
        </w:tc>
        <w:tc>
          <w:tcPr>
            <w:tcW w:w="0" w:type="auto"/>
            <w:tcBorders>
              <w:bottom w:val="single" w:sz="8" w:space="0" w:color="FFFFFF" w:themeColor="background1"/>
            </w:tcBorders>
            <w:shd w:val="clear" w:color="auto" w:fill="5B9BD5" w:themeFill="accent5"/>
            <w:vAlign w:val="top"/>
            <w:hideMark/>
          </w:tcPr>
          <w:p w14:paraId="4679FD21" w14:textId="77777777" w:rsidR="00C03EC4" w:rsidRPr="002E75D4" w:rsidRDefault="00C03EC4" w:rsidP="000D6136">
            <w:pPr>
              <w:pStyle w:val="Sansinterligne"/>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2015</w:t>
            </w:r>
          </w:p>
        </w:tc>
        <w:tc>
          <w:tcPr>
            <w:tcW w:w="0" w:type="auto"/>
            <w:tcBorders>
              <w:bottom w:val="single" w:sz="8" w:space="0" w:color="FFFFFF" w:themeColor="background1"/>
            </w:tcBorders>
            <w:shd w:val="clear" w:color="auto" w:fill="BF8F00" w:themeFill="accent4" w:themeFillShade="BF"/>
            <w:vAlign w:val="top"/>
            <w:hideMark/>
          </w:tcPr>
          <w:p w14:paraId="50F0AFF5" w14:textId="77777777" w:rsidR="00C03EC4" w:rsidRPr="002E75D4" w:rsidRDefault="00C03EC4" w:rsidP="000D6136">
            <w:pPr>
              <w:pStyle w:val="Sansinterligne"/>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2016</w:t>
            </w:r>
          </w:p>
        </w:tc>
        <w:tc>
          <w:tcPr>
            <w:tcW w:w="0" w:type="auto"/>
            <w:tcBorders>
              <w:bottom w:val="single" w:sz="8" w:space="0" w:color="FFFFFF" w:themeColor="background1"/>
            </w:tcBorders>
            <w:shd w:val="clear" w:color="auto" w:fill="00B050"/>
            <w:vAlign w:val="top"/>
            <w:hideMark/>
          </w:tcPr>
          <w:p w14:paraId="3C9B2318" w14:textId="77777777" w:rsidR="00C03EC4" w:rsidRPr="002E75D4" w:rsidRDefault="00C03EC4" w:rsidP="000D6136">
            <w:pPr>
              <w:pStyle w:val="Sansinterligne"/>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2017</w:t>
            </w:r>
          </w:p>
        </w:tc>
        <w:tc>
          <w:tcPr>
            <w:tcW w:w="0" w:type="auto"/>
            <w:tcBorders>
              <w:bottom w:val="single" w:sz="8" w:space="0" w:color="FFFFFF" w:themeColor="background1"/>
            </w:tcBorders>
            <w:shd w:val="clear" w:color="auto" w:fill="FF0000"/>
            <w:vAlign w:val="top"/>
            <w:hideMark/>
          </w:tcPr>
          <w:p w14:paraId="269E2870" w14:textId="77777777" w:rsidR="00C03EC4" w:rsidRPr="002E75D4" w:rsidRDefault="00C03EC4" w:rsidP="000D6136">
            <w:pPr>
              <w:pStyle w:val="Sansinterligne"/>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2018</w:t>
            </w:r>
          </w:p>
        </w:tc>
        <w:tc>
          <w:tcPr>
            <w:tcW w:w="0" w:type="auto"/>
            <w:tcBorders>
              <w:bottom w:val="single" w:sz="8" w:space="0" w:color="FFFFFF" w:themeColor="background1"/>
            </w:tcBorders>
            <w:shd w:val="clear" w:color="auto" w:fill="ED7D31" w:themeFill="accent2"/>
            <w:vAlign w:val="top"/>
            <w:hideMark/>
          </w:tcPr>
          <w:p w14:paraId="1C820690" w14:textId="77777777" w:rsidR="00C03EC4" w:rsidRPr="002E75D4" w:rsidRDefault="00C03EC4" w:rsidP="000D6136">
            <w:pPr>
              <w:pStyle w:val="Sansinterligne"/>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2019</w:t>
            </w:r>
          </w:p>
        </w:tc>
        <w:tc>
          <w:tcPr>
            <w:tcW w:w="0" w:type="auto"/>
            <w:tcBorders>
              <w:bottom w:val="single" w:sz="8" w:space="0" w:color="FFFFFF" w:themeColor="background1"/>
            </w:tcBorders>
            <w:shd w:val="clear" w:color="auto" w:fill="1F4E79" w:themeFill="accent5" w:themeFillShade="80"/>
            <w:vAlign w:val="top"/>
            <w:hideMark/>
          </w:tcPr>
          <w:p w14:paraId="43428CCB" w14:textId="77777777" w:rsidR="00C03EC4" w:rsidRPr="002E75D4" w:rsidRDefault="00C03EC4" w:rsidP="000D6136">
            <w:pPr>
              <w:pStyle w:val="Sansinterligne"/>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2020</w:t>
            </w:r>
          </w:p>
        </w:tc>
      </w:tr>
      <w:tr w:rsidR="00C03EC4" w:rsidRPr="002E75D4" w14:paraId="5D4609C2" w14:textId="77777777" w:rsidTr="000D6136">
        <w:trPr>
          <w:cnfStyle w:val="000000100000" w:firstRow="0" w:lastRow="0" w:firstColumn="0" w:lastColumn="0" w:oddVBand="0" w:evenVBand="0" w:oddHBand="1" w:evenHBand="0" w:firstRowFirstColumn="0" w:firstRowLastColumn="0" w:lastRowFirstColumn="0" w:lastRowLastColumn="0"/>
          <w:trHeight w:val="19"/>
        </w:trPr>
        <w:tc>
          <w:tcPr>
            <w:tcW w:w="0" w:type="auto"/>
            <w:shd w:val="clear" w:color="auto" w:fill="D9D9D9" w:themeFill="background1" w:themeFillShade="D9"/>
            <w:hideMark/>
          </w:tcPr>
          <w:p w14:paraId="482026E9"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Autres types de Terres</w:t>
            </w:r>
          </w:p>
        </w:tc>
        <w:tc>
          <w:tcPr>
            <w:tcW w:w="0" w:type="auto"/>
            <w:hideMark/>
          </w:tcPr>
          <w:p w14:paraId="148186CC"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61 688,3</w:t>
            </w:r>
          </w:p>
        </w:tc>
        <w:tc>
          <w:tcPr>
            <w:tcW w:w="0" w:type="auto"/>
            <w:shd w:val="clear" w:color="auto" w:fill="FFE599" w:themeFill="accent4" w:themeFillTint="66"/>
            <w:hideMark/>
          </w:tcPr>
          <w:p w14:paraId="481D04E5"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61 869,3</w:t>
            </w:r>
          </w:p>
        </w:tc>
        <w:tc>
          <w:tcPr>
            <w:tcW w:w="0" w:type="auto"/>
            <w:shd w:val="clear" w:color="auto" w:fill="ABFFD1"/>
            <w:hideMark/>
          </w:tcPr>
          <w:p w14:paraId="1C51954B"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62 050,4</w:t>
            </w:r>
          </w:p>
        </w:tc>
        <w:tc>
          <w:tcPr>
            <w:tcW w:w="0" w:type="auto"/>
            <w:shd w:val="clear" w:color="auto" w:fill="FFE1E1"/>
            <w:hideMark/>
          </w:tcPr>
          <w:p w14:paraId="00D91865"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62231,4</w:t>
            </w:r>
          </w:p>
        </w:tc>
        <w:tc>
          <w:tcPr>
            <w:tcW w:w="0" w:type="auto"/>
            <w:shd w:val="clear" w:color="auto" w:fill="F7CAAC" w:themeFill="accent2" w:themeFillTint="66"/>
            <w:hideMark/>
          </w:tcPr>
          <w:p w14:paraId="23898C5F"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62 412,4</w:t>
            </w:r>
          </w:p>
        </w:tc>
        <w:tc>
          <w:tcPr>
            <w:tcW w:w="0" w:type="auto"/>
            <w:shd w:val="clear" w:color="auto" w:fill="BDD6EE" w:themeFill="accent5" w:themeFillTint="66"/>
            <w:hideMark/>
          </w:tcPr>
          <w:p w14:paraId="6EDADC65"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rPr>
              <w:t>62 145,3</w:t>
            </w:r>
          </w:p>
        </w:tc>
      </w:tr>
      <w:tr w:rsidR="00C03EC4" w:rsidRPr="002E75D4" w14:paraId="480460AD" w14:textId="77777777" w:rsidTr="000D6136">
        <w:trPr>
          <w:trHeight w:val="161"/>
        </w:trPr>
        <w:tc>
          <w:tcPr>
            <w:tcW w:w="0" w:type="auto"/>
            <w:tcBorders>
              <w:top w:val="single" w:sz="8" w:space="0" w:color="FFFFFF" w:themeColor="background1"/>
              <w:bottom w:val="single" w:sz="8" w:space="0" w:color="FFFFFF" w:themeColor="background1"/>
            </w:tcBorders>
            <w:shd w:val="clear" w:color="auto" w:fill="F2F2F2" w:themeFill="background1" w:themeFillShade="F2"/>
            <w:hideMark/>
          </w:tcPr>
          <w:p w14:paraId="62F151D5"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Terres Cultivées</w:t>
            </w:r>
          </w:p>
        </w:tc>
        <w:tc>
          <w:tcPr>
            <w:tcW w:w="0" w:type="auto"/>
            <w:tcBorders>
              <w:top w:val="single" w:sz="8" w:space="0" w:color="FFFFFF" w:themeColor="background1"/>
              <w:bottom w:val="single" w:sz="8" w:space="0" w:color="FFFFFF" w:themeColor="background1"/>
            </w:tcBorders>
            <w:hideMark/>
          </w:tcPr>
          <w:p w14:paraId="5EDD49F8"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13 064</w:t>
            </w:r>
          </w:p>
        </w:tc>
        <w:tc>
          <w:tcPr>
            <w:tcW w:w="0" w:type="auto"/>
            <w:tcBorders>
              <w:top w:val="single" w:sz="8" w:space="0" w:color="FFFFFF" w:themeColor="background1"/>
              <w:bottom w:val="single" w:sz="8" w:space="0" w:color="FFFFFF" w:themeColor="background1"/>
            </w:tcBorders>
            <w:shd w:val="clear" w:color="auto" w:fill="FFF2CC" w:themeFill="accent4" w:themeFillTint="33"/>
            <w:hideMark/>
          </w:tcPr>
          <w:p w14:paraId="6A6B9704"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13 362</w:t>
            </w:r>
          </w:p>
        </w:tc>
        <w:tc>
          <w:tcPr>
            <w:tcW w:w="0" w:type="auto"/>
            <w:tcBorders>
              <w:top w:val="single" w:sz="8" w:space="0" w:color="FFFFFF" w:themeColor="background1"/>
              <w:bottom w:val="single" w:sz="8" w:space="0" w:color="FFFFFF" w:themeColor="background1"/>
            </w:tcBorders>
            <w:shd w:val="clear" w:color="auto" w:fill="D9FFEA"/>
            <w:hideMark/>
          </w:tcPr>
          <w:p w14:paraId="3C8D722F"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13 661</w:t>
            </w:r>
          </w:p>
        </w:tc>
        <w:tc>
          <w:tcPr>
            <w:tcW w:w="0" w:type="auto"/>
            <w:tcBorders>
              <w:top w:val="single" w:sz="8" w:space="0" w:color="FFFFFF" w:themeColor="background1"/>
              <w:bottom w:val="single" w:sz="8" w:space="0" w:color="FFFFFF" w:themeColor="background1"/>
            </w:tcBorders>
            <w:shd w:val="clear" w:color="auto" w:fill="FFF3F7"/>
            <w:hideMark/>
          </w:tcPr>
          <w:p w14:paraId="196246F9"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13 959</w:t>
            </w:r>
          </w:p>
        </w:tc>
        <w:tc>
          <w:tcPr>
            <w:tcW w:w="0" w:type="auto"/>
            <w:tcBorders>
              <w:top w:val="single" w:sz="8" w:space="0" w:color="FFFFFF" w:themeColor="background1"/>
              <w:bottom w:val="single" w:sz="8" w:space="0" w:color="FFFFFF" w:themeColor="background1"/>
            </w:tcBorders>
            <w:shd w:val="clear" w:color="auto" w:fill="FBE4D5" w:themeFill="accent2" w:themeFillTint="33"/>
            <w:hideMark/>
          </w:tcPr>
          <w:p w14:paraId="6A498663"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14 258</w:t>
            </w:r>
          </w:p>
        </w:tc>
        <w:tc>
          <w:tcPr>
            <w:tcW w:w="0" w:type="auto"/>
            <w:tcBorders>
              <w:top w:val="single" w:sz="8" w:space="0" w:color="FFFFFF" w:themeColor="background1"/>
              <w:bottom w:val="single" w:sz="8" w:space="0" w:color="FFFFFF" w:themeColor="background1"/>
            </w:tcBorders>
            <w:shd w:val="clear" w:color="auto" w:fill="DEEAF6" w:themeFill="accent5" w:themeFillTint="33"/>
            <w:hideMark/>
          </w:tcPr>
          <w:p w14:paraId="21B56C31"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rPr>
              <w:t>14 436,8</w:t>
            </w:r>
          </w:p>
        </w:tc>
      </w:tr>
      <w:tr w:rsidR="00C03EC4" w:rsidRPr="002E75D4" w14:paraId="7892CD8A" w14:textId="77777777" w:rsidTr="000D6136">
        <w:trPr>
          <w:cnfStyle w:val="000000100000" w:firstRow="0" w:lastRow="0" w:firstColumn="0" w:lastColumn="0" w:oddVBand="0" w:evenVBand="0" w:oddHBand="1" w:evenHBand="0" w:firstRowFirstColumn="0" w:firstRowLastColumn="0" w:lastRowFirstColumn="0" w:lastRowLastColumn="0"/>
          <w:trHeight w:val="161"/>
        </w:trPr>
        <w:tc>
          <w:tcPr>
            <w:tcW w:w="0" w:type="auto"/>
            <w:shd w:val="clear" w:color="auto" w:fill="D9D9D9" w:themeFill="background1" w:themeFillShade="D9"/>
            <w:hideMark/>
          </w:tcPr>
          <w:p w14:paraId="6AFDB49F"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Terres Forestières</w:t>
            </w:r>
          </w:p>
        </w:tc>
        <w:tc>
          <w:tcPr>
            <w:tcW w:w="0" w:type="auto"/>
            <w:hideMark/>
          </w:tcPr>
          <w:p w14:paraId="2207278F"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23 675</w:t>
            </w:r>
          </w:p>
        </w:tc>
        <w:tc>
          <w:tcPr>
            <w:tcW w:w="0" w:type="auto"/>
            <w:shd w:val="clear" w:color="auto" w:fill="FFE599" w:themeFill="accent4" w:themeFillTint="66"/>
            <w:hideMark/>
          </w:tcPr>
          <w:p w14:paraId="07854CBA"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23 644</w:t>
            </w:r>
          </w:p>
        </w:tc>
        <w:tc>
          <w:tcPr>
            <w:tcW w:w="0" w:type="auto"/>
            <w:shd w:val="clear" w:color="auto" w:fill="ABFFD1"/>
            <w:hideMark/>
          </w:tcPr>
          <w:p w14:paraId="1FDD42C1"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23 613</w:t>
            </w:r>
          </w:p>
        </w:tc>
        <w:tc>
          <w:tcPr>
            <w:tcW w:w="0" w:type="auto"/>
            <w:shd w:val="clear" w:color="auto" w:fill="FFE1E1"/>
            <w:hideMark/>
          </w:tcPr>
          <w:p w14:paraId="0656AF06"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23 582</w:t>
            </w:r>
          </w:p>
        </w:tc>
        <w:tc>
          <w:tcPr>
            <w:tcW w:w="0" w:type="auto"/>
            <w:shd w:val="clear" w:color="auto" w:fill="F7CAAC" w:themeFill="accent2" w:themeFillTint="66"/>
            <w:hideMark/>
          </w:tcPr>
          <w:p w14:paraId="4685228A"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23 551</w:t>
            </w:r>
          </w:p>
        </w:tc>
        <w:tc>
          <w:tcPr>
            <w:tcW w:w="0" w:type="auto"/>
            <w:shd w:val="clear" w:color="auto" w:fill="BDD6EE" w:themeFill="accent5" w:themeFillTint="66"/>
            <w:hideMark/>
          </w:tcPr>
          <w:p w14:paraId="7C8AEC29"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rPr>
              <w:t>23 519,9</w:t>
            </w:r>
          </w:p>
        </w:tc>
      </w:tr>
      <w:tr w:rsidR="00C03EC4" w:rsidRPr="002E75D4" w14:paraId="40CACC86" w14:textId="77777777" w:rsidTr="000D6136">
        <w:trPr>
          <w:trHeight w:hRule="exact" w:val="357"/>
        </w:trPr>
        <w:tc>
          <w:tcPr>
            <w:tcW w:w="0" w:type="auto"/>
            <w:tcBorders>
              <w:top w:val="single" w:sz="8" w:space="0" w:color="FFFFFF" w:themeColor="background1"/>
              <w:bottom w:val="single" w:sz="8" w:space="0" w:color="FFFFFF" w:themeColor="background1"/>
            </w:tcBorders>
            <w:shd w:val="clear" w:color="auto" w:fill="F2F2F2" w:themeFill="background1" w:themeFillShade="F2"/>
            <w:hideMark/>
          </w:tcPr>
          <w:p w14:paraId="32E40FA9"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Terres Humides</w:t>
            </w:r>
          </w:p>
        </w:tc>
        <w:tc>
          <w:tcPr>
            <w:tcW w:w="0" w:type="auto"/>
            <w:tcBorders>
              <w:top w:val="single" w:sz="8" w:space="0" w:color="FFFFFF" w:themeColor="background1"/>
              <w:bottom w:val="single" w:sz="8" w:space="0" w:color="FFFFFF" w:themeColor="background1"/>
            </w:tcBorders>
            <w:hideMark/>
          </w:tcPr>
          <w:p w14:paraId="723988DA"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4 472</w:t>
            </w:r>
          </w:p>
        </w:tc>
        <w:tc>
          <w:tcPr>
            <w:tcW w:w="0" w:type="auto"/>
            <w:tcBorders>
              <w:top w:val="single" w:sz="8" w:space="0" w:color="FFFFFF" w:themeColor="background1"/>
              <w:bottom w:val="single" w:sz="8" w:space="0" w:color="FFFFFF" w:themeColor="background1"/>
            </w:tcBorders>
            <w:shd w:val="clear" w:color="auto" w:fill="FFF2CC" w:themeFill="accent4" w:themeFillTint="33"/>
            <w:hideMark/>
          </w:tcPr>
          <w:p w14:paraId="244417D2"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4 472</w:t>
            </w:r>
          </w:p>
        </w:tc>
        <w:tc>
          <w:tcPr>
            <w:tcW w:w="0" w:type="auto"/>
            <w:tcBorders>
              <w:top w:val="single" w:sz="8" w:space="0" w:color="FFFFFF" w:themeColor="background1"/>
              <w:bottom w:val="single" w:sz="8" w:space="0" w:color="FFFFFF" w:themeColor="background1"/>
            </w:tcBorders>
            <w:shd w:val="clear" w:color="auto" w:fill="D9FFEA"/>
          </w:tcPr>
          <w:p w14:paraId="63529A3F"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4 472</w:t>
            </w:r>
          </w:p>
        </w:tc>
        <w:tc>
          <w:tcPr>
            <w:tcW w:w="0" w:type="auto"/>
            <w:tcBorders>
              <w:top w:val="single" w:sz="8" w:space="0" w:color="FFFFFF" w:themeColor="background1"/>
              <w:bottom w:val="single" w:sz="8" w:space="0" w:color="FFFFFF" w:themeColor="background1"/>
            </w:tcBorders>
            <w:shd w:val="clear" w:color="auto" w:fill="FFF3F7"/>
            <w:hideMark/>
          </w:tcPr>
          <w:p w14:paraId="72F43D3F"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4 472</w:t>
            </w:r>
          </w:p>
        </w:tc>
        <w:tc>
          <w:tcPr>
            <w:tcW w:w="0" w:type="auto"/>
            <w:tcBorders>
              <w:top w:val="single" w:sz="8" w:space="0" w:color="FFFFFF" w:themeColor="background1"/>
              <w:bottom w:val="single" w:sz="8" w:space="0" w:color="FFFFFF" w:themeColor="background1"/>
            </w:tcBorders>
            <w:shd w:val="clear" w:color="auto" w:fill="FBE4D5" w:themeFill="accent2" w:themeFillTint="33"/>
            <w:hideMark/>
          </w:tcPr>
          <w:p w14:paraId="1EDE9C57"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4 472</w:t>
            </w:r>
          </w:p>
        </w:tc>
        <w:tc>
          <w:tcPr>
            <w:tcW w:w="0" w:type="auto"/>
            <w:tcBorders>
              <w:top w:val="single" w:sz="8" w:space="0" w:color="FFFFFF" w:themeColor="background1"/>
              <w:bottom w:val="single" w:sz="8" w:space="0" w:color="FFFFFF" w:themeColor="background1"/>
            </w:tcBorders>
            <w:shd w:val="clear" w:color="auto" w:fill="DEEAF6" w:themeFill="accent5" w:themeFillTint="33"/>
            <w:hideMark/>
          </w:tcPr>
          <w:p w14:paraId="5D207239"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4 472</w:t>
            </w:r>
          </w:p>
        </w:tc>
      </w:tr>
      <w:tr w:rsidR="00C03EC4" w:rsidRPr="002E75D4" w14:paraId="7CBC8DED" w14:textId="77777777" w:rsidTr="000D6136">
        <w:trPr>
          <w:cnfStyle w:val="000000100000" w:firstRow="0" w:lastRow="0" w:firstColumn="0" w:lastColumn="0" w:oddVBand="0" w:evenVBand="0" w:oddHBand="1" w:evenHBand="0" w:firstRowFirstColumn="0" w:firstRowLastColumn="0" w:lastRowFirstColumn="0" w:lastRowLastColumn="0"/>
          <w:trHeight w:val="161"/>
        </w:trPr>
        <w:tc>
          <w:tcPr>
            <w:tcW w:w="0" w:type="auto"/>
            <w:shd w:val="clear" w:color="auto" w:fill="D9D9D9" w:themeFill="background1" w:themeFillShade="D9"/>
            <w:hideMark/>
          </w:tcPr>
          <w:p w14:paraId="3F150606"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Terres Pastorales et parcours pastoraux</w:t>
            </w:r>
          </w:p>
        </w:tc>
        <w:tc>
          <w:tcPr>
            <w:tcW w:w="0" w:type="auto"/>
            <w:hideMark/>
          </w:tcPr>
          <w:p w14:paraId="2494E9C0"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17 567</w:t>
            </w:r>
          </w:p>
        </w:tc>
        <w:tc>
          <w:tcPr>
            <w:tcW w:w="0" w:type="auto"/>
            <w:shd w:val="clear" w:color="auto" w:fill="FFE599" w:themeFill="accent4" w:themeFillTint="66"/>
            <w:hideMark/>
          </w:tcPr>
          <w:p w14:paraId="7FD82EDB"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17 050</w:t>
            </w:r>
          </w:p>
        </w:tc>
        <w:tc>
          <w:tcPr>
            <w:tcW w:w="0" w:type="auto"/>
            <w:shd w:val="clear" w:color="auto" w:fill="ABFFD1"/>
            <w:hideMark/>
          </w:tcPr>
          <w:p w14:paraId="238A8C09"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16 533,1</w:t>
            </w:r>
          </w:p>
        </w:tc>
        <w:tc>
          <w:tcPr>
            <w:tcW w:w="0" w:type="auto"/>
            <w:shd w:val="clear" w:color="auto" w:fill="FFE1E1"/>
            <w:hideMark/>
          </w:tcPr>
          <w:p w14:paraId="152AEE25"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16 016</w:t>
            </w:r>
          </w:p>
        </w:tc>
        <w:tc>
          <w:tcPr>
            <w:tcW w:w="0" w:type="auto"/>
            <w:shd w:val="clear" w:color="auto" w:fill="F7CAAC" w:themeFill="accent2" w:themeFillTint="66"/>
            <w:hideMark/>
          </w:tcPr>
          <w:p w14:paraId="2AFEAFC0"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15 499</w:t>
            </w:r>
          </w:p>
        </w:tc>
        <w:tc>
          <w:tcPr>
            <w:tcW w:w="0" w:type="auto"/>
            <w:shd w:val="clear" w:color="auto" w:fill="BDD6EE" w:themeFill="accent5" w:themeFillTint="66"/>
            <w:hideMark/>
          </w:tcPr>
          <w:p w14:paraId="07A915F8"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rPr>
              <w:t>15 618,2</w:t>
            </w:r>
          </w:p>
        </w:tc>
      </w:tr>
      <w:tr w:rsidR="00C03EC4" w:rsidRPr="002E75D4" w14:paraId="179C52F5" w14:textId="77777777" w:rsidTr="000D6136">
        <w:trPr>
          <w:trHeight w:val="161"/>
        </w:trPr>
        <w:tc>
          <w:tcPr>
            <w:tcW w:w="0" w:type="auto"/>
            <w:tcBorders>
              <w:top w:val="single" w:sz="8" w:space="0" w:color="FFFFFF" w:themeColor="background1"/>
              <w:bottom w:val="single" w:sz="8" w:space="0" w:color="FFFFFF" w:themeColor="background1"/>
            </w:tcBorders>
            <w:shd w:val="clear" w:color="auto" w:fill="F2F2F2" w:themeFill="background1" w:themeFillShade="F2"/>
            <w:hideMark/>
          </w:tcPr>
          <w:p w14:paraId="689DBE32"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Terres urbanisées</w:t>
            </w:r>
          </w:p>
        </w:tc>
        <w:tc>
          <w:tcPr>
            <w:tcW w:w="0" w:type="auto"/>
            <w:tcBorders>
              <w:top w:val="single" w:sz="8" w:space="0" w:color="FFFFFF" w:themeColor="background1"/>
              <w:bottom w:val="single" w:sz="8" w:space="0" w:color="FFFFFF" w:themeColor="background1"/>
            </w:tcBorders>
            <w:hideMark/>
          </w:tcPr>
          <w:p w14:paraId="0696832C"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3 655,5</w:t>
            </w:r>
          </w:p>
        </w:tc>
        <w:tc>
          <w:tcPr>
            <w:tcW w:w="0" w:type="auto"/>
            <w:tcBorders>
              <w:top w:val="single" w:sz="8" w:space="0" w:color="FFFFFF" w:themeColor="background1"/>
              <w:bottom w:val="single" w:sz="8" w:space="0" w:color="FFFFFF" w:themeColor="background1"/>
            </w:tcBorders>
            <w:shd w:val="clear" w:color="auto" w:fill="FFF2CC" w:themeFill="accent4" w:themeFillTint="33"/>
            <w:hideMark/>
          </w:tcPr>
          <w:p w14:paraId="5732DDE3"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3 724,4</w:t>
            </w:r>
          </w:p>
        </w:tc>
        <w:tc>
          <w:tcPr>
            <w:tcW w:w="0" w:type="auto"/>
            <w:tcBorders>
              <w:top w:val="single" w:sz="8" w:space="0" w:color="FFFFFF" w:themeColor="background1"/>
              <w:bottom w:val="single" w:sz="8" w:space="0" w:color="FFFFFF" w:themeColor="background1"/>
            </w:tcBorders>
            <w:shd w:val="clear" w:color="auto" w:fill="D9FFEA"/>
            <w:hideMark/>
          </w:tcPr>
          <w:p w14:paraId="5577426D"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3 793,3</w:t>
            </w:r>
          </w:p>
        </w:tc>
        <w:tc>
          <w:tcPr>
            <w:tcW w:w="0" w:type="auto"/>
            <w:tcBorders>
              <w:top w:val="single" w:sz="8" w:space="0" w:color="FFFFFF" w:themeColor="background1"/>
              <w:bottom w:val="single" w:sz="8" w:space="0" w:color="FFFFFF" w:themeColor="background1"/>
            </w:tcBorders>
            <w:shd w:val="clear" w:color="auto" w:fill="FFF3F7"/>
            <w:hideMark/>
          </w:tcPr>
          <w:p w14:paraId="5B3C3E31"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3 862,2</w:t>
            </w:r>
          </w:p>
        </w:tc>
        <w:tc>
          <w:tcPr>
            <w:tcW w:w="0" w:type="auto"/>
            <w:tcBorders>
              <w:top w:val="single" w:sz="8" w:space="0" w:color="FFFFFF" w:themeColor="background1"/>
              <w:bottom w:val="single" w:sz="8" w:space="0" w:color="FFFFFF" w:themeColor="background1"/>
            </w:tcBorders>
            <w:shd w:val="clear" w:color="auto" w:fill="FBE4D5" w:themeFill="accent2" w:themeFillTint="33"/>
            <w:hideMark/>
          </w:tcPr>
          <w:p w14:paraId="312ABB8A"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lang w:val="en-US"/>
              </w:rPr>
              <w:t>3931,1</w:t>
            </w:r>
          </w:p>
        </w:tc>
        <w:tc>
          <w:tcPr>
            <w:tcW w:w="0" w:type="auto"/>
            <w:tcBorders>
              <w:top w:val="single" w:sz="8" w:space="0" w:color="FFFFFF" w:themeColor="background1"/>
              <w:bottom w:val="single" w:sz="8" w:space="0" w:color="FFFFFF" w:themeColor="background1"/>
            </w:tcBorders>
            <w:shd w:val="clear" w:color="auto" w:fill="DEEAF6" w:themeFill="accent5" w:themeFillTint="33"/>
            <w:hideMark/>
          </w:tcPr>
          <w:p w14:paraId="4F695986" w14:textId="77777777" w:rsidR="00C03EC4" w:rsidRPr="002E75D4" w:rsidRDefault="00C03EC4" w:rsidP="000D6136">
            <w:pPr>
              <w:spacing w:after="120"/>
              <w:jc w:val="right"/>
              <w:rPr>
                <w:rFonts w:asciiTheme="majorHAnsi" w:hAnsiTheme="majorHAnsi" w:cstheme="majorHAnsi"/>
                <w:sz w:val="24"/>
                <w:szCs w:val="24"/>
              </w:rPr>
            </w:pPr>
            <w:r w:rsidRPr="002E75D4">
              <w:rPr>
                <w:rFonts w:asciiTheme="majorHAnsi" w:hAnsiTheme="majorHAnsi" w:cstheme="majorHAnsi"/>
                <w:sz w:val="24"/>
                <w:szCs w:val="24"/>
              </w:rPr>
              <w:t>3931,1</w:t>
            </w:r>
          </w:p>
        </w:tc>
      </w:tr>
    </w:tbl>
    <w:p w14:paraId="63273C58" w14:textId="77777777" w:rsidR="00C03EC4" w:rsidRPr="00EA7465" w:rsidRDefault="00C03EC4" w:rsidP="00C03EC4">
      <w:pPr>
        <w:jc w:val="both"/>
        <w:rPr>
          <w:rFonts w:asciiTheme="majorHAnsi" w:hAnsiTheme="majorHAnsi" w:cstheme="majorHAnsi"/>
          <w:b/>
          <w:sz w:val="18"/>
          <w:szCs w:val="24"/>
        </w:rPr>
      </w:pPr>
      <w:r w:rsidRPr="00EA7465">
        <w:rPr>
          <w:rFonts w:asciiTheme="majorHAnsi" w:hAnsiTheme="majorHAnsi" w:cstheme="majorHAnsi"/>
          <w:b/>
          <w:szCs w:val="24"/>
          <w:u w:val="single"/>
        </w:rPr>
        <w:t>Source </w:t>
      </w:r>
      <w:r w:rsidRPr="00EA7465">
        <w:rPr>
          <w:rFonts w:asciiTheme="majorHAnsi" w:hAnsiTheme="majorHAnsi" w:cstheme="majorHAnsi"/>
          <w:b/>
          <w:szCs w:val="24"/>
        </w:rPr>
        <w:t xml:space="preserve">: </w:t>
      </w:r>
      <w:r w:rsidRPr="00EA7465">
        <w:rPr>
          <w:rFonts w:asciiTheme="majorHAnsi" w:hAnsiTheme="majorHAnsi" w:cstheme="majorHAnsi"/>
          <w:b/>
          <w:sz w:val="20"/>
          <w:szCs w:val="24"/>
        </w:rPr>
        <w:t>Rapport BUR 2019.</w:t>
      </w:r>
    </w:p>
    <w:p w14:paraId="7342F6C6"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Selon le rapport BUR 2019, les superficies des terres forestières sont passées de 23,6 à 23,5 millions ha sur la période 2015-2020. Les changements d’affectation de terres annuelles sur celles-ci sont estimés à environ 31,1 milliers ha. Ce changement de superficies des terres forestières se fait au détriment d’une augmentation de celles des terres de cultures et pâturages. Cette situation traduit à suffisance les phénomènes de changement d’affection des terres qui est responsable des émissions de GES dans le secteur de la foresterie. </w:t>
      </w:r>
    </w:p>
    <w:p w14:paraId="6B01FEF7"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terres de cultures sont constituées par les surfaces allouées aux cultures irriguées et aux cultures sèches (savanes- vergers). </w:t>
      </w:r>
    </w:p>
    <w:p w14:paraId="469F3F71"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superficies des terres forestières, les terres de cultures (savanes vergers) et les jachères sont déterminantes dans la séquestration des GES et le bilan des émissions du pays « puits carbone ». </w:t>
      </w:r>
    </w:p>
    <w:p w14:paraId="6651B9AD"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En 2015, les superficies des cultures sèches et jachères représentaient 12 582 338 ha contre 13756 236 ha en 2020 soit une augmentation de 1,8% par an (taux de changement d’affectation de terre sur la période de 2015 et 2020). Elles agissent au plan spatial dans la fixation du carbone forestier.</w:t>
      </w:r>
    </w:p>
    <w:p w14:paraId="684D03B4"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Les superficies des reboisements sur les périodes 2013 à 2019 couvrent en moyenne 16 120 ha (BUR, 2019) tandis que celles des défrichements légaux (autorisés) sont de 1700 ha en moyenne. Ces réalisations au niveau du secteur de la foresterie et changement d’affectation des terres sont insuffisantes pour juguler et compenser le phénomène de réduction de la capacité de séquestration du secteur.</w:t>
      </w:r>
    </w:p>
    <w:p w14:paraId="6D93F2C5" w14:textId="77777777" w:rsidR="00C03EC4" w:rsidRPr="002E75D4" w:rsidRDefault="00C03EC4" w:rsidP="00C03EC4">
      <w:pPr>
        <w:spacing w:after="0"/>
        <w:jc w:val="both"/>
        <w:rPr>
          <w:rFonts w:asciiTheme="majorHAnsi" w:hAnsiTheme="majorHAnsi" w:cstheme="majorHAnsi"/>
          <w:sz w:val="24"/>
          <w:szCs w:val="24"/>
        </w:rPr>
      </w:pPr>
    </w:p>
    <w:p w14:paraId="5FD55C5C" w14:textId="77777777" w:rsidR="00C03EC4" w:rsidRPr="002E75D4" w:rsidRDefault="00C03EC4" w:rsidP="00C03EC4">
      <w:pPr>
        <w:spacing w:after="0"/>
        <w:jc w:val="both"/>
        <w:rPr>
          <w:rFonts w:asciiTheme="majorHAnsi" w:hAnsiTheme="majorHAnsi" w:cstheme="majorHAnsi"/>
          <w:sz w:val="24"/>
          <w:szCs w:val="24"/>
        </w:rPr>
      </w:pPr>
      <w:r w:rsidRPr="002E75D4">
        <w:rPr>
          <w:rFonts w:asciiTheme="majorHAnsi" w:hAnsiTheme="majorHAnsi" w:cstheme="majorHAnsi"/>
          <w:sz w:val="24"/>
          <w:szCs w:val="24"/>
        </w:rPr>
        <w:t>La zone forestière prise en compte par le secteur comprend les espaces boisés et les savanes. Les principales données utilisées pour l’évaluation des gaz sont : la superficie des zones forestières, la superficie des plantations forestières, la quantité de bois exploitée, et la superficie des sols minéraux.</w:t>
      </w:r>
    </w:p>
    <w:p w14:paraId="17452BBD" w14:textId="77777777" w:rsidR="00C03EC4" w:rsidRPr="002E75D4" w:rsidRDefault="00C03EC4" w:rsidP="00C03EC4">
      <w:pPr>
        <w:spacing w:after="0" w:line="240" w:lineRule="auto"/>
        <w:jc w:val="both"/>
        <w:textAlignment w:val="baseline"/>
        <w:rPr>
          <w:rFonts w:asciiTheme="majorHAnsi" w:hAnsiTheme="majorHAnsi" w:cstheme="majorHAnsi"/>
          <w:sz w:val="24"/>
          <w:szCs w:val="24"/>
        </w:rPr>
      </w:pPr>
      <w:r w:rsidRPr="002E75D4">
        <w:rPr>
          <w:rFonts w:asciiTheme="majorHAnsi" w:hAnsiTheme="majorHAnsi" w:cstheme="majorHAnsi"/>
          <w:sz w:val="24"/>
          <w:szCs w:val="24"/>
        </w:rPr>
        <w:t xml:space="preserve">La forte utilisation du bois de chauffe et du charbon de bois comme combustible domestique dans les activités ménagères a d’importants impacts négatifs, dont les principaux sont la déforestation d’environ 400 000 ha par an et l’émission de gaz à effet de serre (15,45 MT de dioxyde de carbone ; la dépendance par rapport à la biomasse et l’alourdissement de la charge de travail des femmes rurales car le ramassage du bois de feu se fait de plus en plus loin des habitations. </w:t>
      </w:r>
    </w:p>
    <w:p w14:paraId="53AB9DDE" w14:textId="77777777" w:rsidR="00C03EC4" w:rsidRPr="002E75D4" w:rsidRDefault="00C03EC4" w:rsidP="00C03EC4">
      <w:pPr>
        <w:spacing w:after="0" w:line="240" w:lineRule="auto"/>
        <w:jc w:val="both"/>
        <w:textAlignment w:val="baseline"/>
        <w:rPr>
          <w:rFonts w:asciiTheme="majorHAnsi" w:hAnsiTheme="majorHAnsi" w:cstheme="majorHAnsi"/>
          <w:sz w:val="24"/>
          <w:szCs w:val="24"/>
        </w:rPr>
      </w:pPr>
    </w:p>
    <w:p w14:paraId="79D42DEE" w14:textId="77777777" w:rsidR="00C03EC4" w:rsidRPr="002E75D4" w:rsidRDefault="00C03EC4" w:rsidP="00C03EC4">
      <w:pPr>
        <w:spacing w:after="0" w:line="240" w:lineRule="auto"/>
        <w:jc w:val="both"/>
        <w:textAlignment w:val="baseline"/>
        <w:rPr>
          <w:rFonts w:asciiTheme="majorHAnsi" w:hAnsiTheme="majorHAnsi" w:cstheme="majorHAnsi"/>
          <w:sz w:val="24"/>
          <w:szCs w:val="24"/>
        </w:rPr>
      </w:pPr>
      <w:r w:rsidRPr="002E75D4">
        <w:rPr>
          <w:rFonts w:asciiTheme="majorHAnsi" w:hAnsiTheme="majorHAnsi" w:cstheme="majorHAnsi"/>
          <w:sz w:val="24"/>
          <w:szCs w:val="24"/>
        </w:rPr>
        <w:t xml:space="preserve">Dans le secteur de la Foresterie et des Changements d’Affectation des Terres la séquestration de GES, d’une valeur moyenne de 781 473 Kilo Tonnes de CO2 par an, est assurée uniquement par la zone forestière. </w:t>
      </w:r>
    </w:p>
    <w:p w14:paraId="5BF2ECF5" w14:textId="77777777" w:rsidR="00C03EC4" w:rsidRPr="002E75D4" w:rsidRDefault="00C03EC4" w:rsidP="00C03EC4">
      <w:pPr>
        <w:spacing w:after="0" w:line="240" w:lineRule="auto"/>
        <w:jc w:val="both"/>
        <w:rPr>
          <w:rFonts w:asciiTheme="majorHAnsi" w:hAnsiTheme="majorHAnsi" w:cstheme="majorHAnsi"/>
          <w:sz w:val="24"/>
          <w:szCs w:val="24"/>
        </w:rPr>
      </w:pPr>
    </w:p>
    <w:p w14:paraId="1179699E"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En revanche les émissions, d’une valeur moyenne de 560 976 Kilo Tonnes de CO2 par an, proviennent des sols minéraux, affectés aux systèmes d’agriculture et du sylvo-pastoralisme et des terres converties (prairies et surfaces défrichées). </w:t>
      </w:r>
    </w:p>
    <w:p w14:paraId="79D59A7A" w14:textId="77777777" w:rsidR="00C03EC4" w:rsidRPr="002E75D4" w:rsidRDefault="00C03EC4" w:rsidP="00C03EC4">
      <w:pPr>
        <w:spacing w:after="0" w:line="240" w:lineRule="auto"/>
        <w:jc w:val="both"/>
        <w:rPr>
          <w:rFonts w:asciiTheme="majorHAnsi" w:hAnsiTheme="majorHAnsi" w:cstheme="majorHAnsi"/>
          <w:sz w:val="24"/>
          <w:szCs w:val="24"/>
          <w:lang w:val="fr-ML"/>
        </w:rPr>
      </w:pPr>
      <w:r w:rsidRPr="002E75D4">
        <w:rPr>
          <w:rFonts w:asciiTheme="majorHAnsi" w:hAnsiTheme="majorHAnsi" w:cstheme="majorHAnsi"/>
          <w:sz w:val="24"/>
          <w:szCs w:val="24"/>
          <w:lang w:val="fr-ML"/>
        </w:rPr>
        <w:t>Le tableau 6 résume les séquestrations de carbone sur la période de 2015 à 2017</w:t>
      </w:r>
    </w:p>
    <w:p w14:paraId="1294307C" w14:textId="77777777" w:rsidR="00C03EC4" w:rsidRPr="002E75D4" w:rsidRDefault="00C03EC4" w:rsidP="00C03EC4">
      <w:pPr>
        <w:spacing w:after="120" w:line="240" w:lineRule="auto"/>
        <w:jc w:val="both"/>
        <w:rPr>
          <w:rFonts w:asciiTheme="majorHAnsi" w:hAnsiTheme="majorHAnsi" w:cstheme="majorHAnsi"/>
          <w:sz w:val="24"/>
          <w:szCs w:val="24"/>
        </w:rPr>
      </w:pPr>
    </w:p>
    <w:p w14:paraId="5A14C9C1" w14:textId="77777777" w:rsidR="00C03EC4" w:rsidRPr="002E75D4" w:rsidRDefault="00C03EC4" w:rsidP="00C03EC4">
      <w:pPr>
        <w:spacing w:after="120" w:line="240" w:lineRule="auto"/>
        <w:jc w:val="both"/>
        <w:rPr>
          <w:rFonts w:asciiTheme="majorHAnsi" w:hAnsiTheme="majorHAnsi" w:cstheme="majorHAnsi"/>
          <w:sz w:val="24"/>
          <w:szCs w:val="24"/>
        </w:rPr>
      </w:pPr>
      <w:r w:rsidRPr="007C42D7">
        <w:rPr>
          <w:rFonts w:asciiTheme="majorHAnsi" w:hAnsiTheme="majorHAnsi" w:cstheme="majorHAnsi"/>
          <w:b/>
          <w:bCs/>
          <w:sz w:val="24"/>
          <w:szCs w:val="24"/>
          <w:u w:val="single"/>
        </w:rPr>
        <w:t>Tableau 6</w:t>
      </w:r>
      <w:r w:rsidRPr="002E75D4">
        <w:rPr>
          <w:rFonts w:asciiTheme="majorHAnsi" w:hAnsiTheme="majorHAnsi" w:cstheme="majorHAnsi"/>
          <w:b/>
          <w:sz w:val="24"/>
          <w:szCs w:val="24"/>
        </w:rPr>
        <w:t> :</w:t>
      </w:r>
      <w:r w:rsidRPr="002E75D4">
        <w:rPr>
          <w:rFonts w:asciiTheme="majorHAnsi" w:hAnsiTheme="majorHAnsi" w:cstheme="majorHAnsi"/>
          <w:sz w:val="24"/>
          <w:szCs w:val="24"/>
        </w:rPr>
        <w:t xml:space="preserve"> Séquestration et émission GES sur la période 2015-2017 en KTEq CO</w:t>
      </w:r>
      <w:r w:rsidRPr="002E75D4">
        <w:rPr>
          <w:rFonts w:asciiTheme="majorHAnsi" w:hAnsiTheme="majorHAnsi" w:cstheme="majorHAnsi"/>
          <w:sz w:val="24"/>
          <w:szCs w:val="24"/>
          <w:vertAlign w:val="subscript"/>
        </w:rPr>
        <w:t>2</w:t>
      </w:r>
    </w:p>
    <w:tbl>
      <w:tblPr>
        <w:tblStyle w:val="Grillemoyenne3-Accent1"/>
        <w:tblW w:w="5000" w:type="pct"/>
        <w:tblLook w:val="0420" w:firstRow="1" w:lastRow="0" w:firstColumn="0" w:lastColumn="0" w:noHBand="0" w:noVBand="1"/>
      </w:tblPr>
      <w:tblGrid>
        <w:gridCol w:w="1270"/>
        <w:gridCol w:w="2720"/>
        <w:gridCol w:w="2051"/>
        <w:gridCol w:w="2095"/>
        <w:gridCol w:w="1483"/>
      </w:tblGrid>
      <w:tr w:rsidR="00C03EC4" w:rsidRPr="002E75D4" w14:paraId="080890DC" w14:textId="77777777" w:rsidTr="000D6136">
        <w:trPr>
          <w:cnfStyle w:val="100000000000" w:firstRow="1" w:lastRow="0" w:firstColumn="0" w:lastColumn="0" w:oddVBand="0" w:evenVBand="0" w:oddHBand="0" w:evenHBand="0" w:firstRowFirstColumn="0" w:firstRowLastColumn="0" w:lastRowFirstColumn="0" w:lastRowLastColumn="0"/>
          <w:trHeight w:val="317"/>
        </w:trPr>
        <w:tc>
          <w:tcPr>
            <w:tcW w:w="660" w:type="pct"/>
            <w:shd w:val="clear" w:color="auto" w:fill="C00000"/>
            <w:noWrap/>
            <w:vAlign w:val="bottom"/>
            <w:hideMark/>
          </w:tcPr>
          <w:p w14:paraId="6A8CE09B" w14:textId="77777777" w:rsidR="00C03EC4" w:rsidRPr="002E75D4" w:rsidRDefault="00C03EC4" w:rsidP="000D6136">
            <w:pPr>
              <w:spacing w:after="120"/>
              <w:rPr>
                <w:rFonts w:asciiTheme="majorHAnsi" w:hAnsiTheme="majorHAnsi" w:cstheme="majorHAnsi"/>
                <w:bCs w:val="0"/>
                <w:color w:val="auto"/>
                <w:sz w:val="24"/>
                <w:szCs w:val="24"/>
              </w:rPr>
            </w:pPr>
            <w:r w:rsidRPr="002E75D4">
              <w:rPr>
                <w:rFonts w:asciiTheme="majorHAnsi" w:hAnsiTheme="majorHAnsi" w:cstheme="majorHAnsi"/>
                <w:bCs w:val="0"/>
                <w:color w:val="auto"/>
                <w:sz w:val="24"/>
                <w:szCs w:val="24"/>
              </w:rPr>
              <w:t>Années</w:t>
            </w:r>
          </w:p>
        </w:tc>
        <w:tc>
          <w:tcPr>
            <w:tcW w:w="1414" w:type="pct"/>
            <w:shd w:val="clear" w:color="auto" w:fill="002060"/>
            <w:hideMark/>
          </w:tcPr>
          <w:p w14:paraId="39917EF0" w14:textId="77777777" w:rsidR="00C03EC4" w:rsidRPr="002E75D4" w:rsidRDefault="00C03EC4" w:rsidP="000D6136">
            <w:pPr>
              <w:pStyle w:val="Lgende"/>
              <w:jc w:val="center"/>
              <w:rPr>
                <w:rFonts w:asciiTheme="majorHAnsi" w:hAnsiTheme="majorHAnsi" w:cstheme="majorHAnsi"/>
                <w:b/>
                <w:bCs/>
                <w:color w:val="auto"/>
                <w:sz w:val="24"/>
                <w:szCs w:val="24"/>
              </w:rPr>
            </w:pPr>
            <w:r w:rsidRPr="002E75D4">
              <w:rPr>
                <w:rFonts w:asciiTheme="majorHAnsi" w:hAnsiTheme="majorHAnsi" w:cstheme="majorHAnsi"/>
                <w:b/>
                <w:bCs/>
                <w:color w:val="auto"/>
                <w:sz w:val="24"/>
                <w:szCs w:val="24"/>
              </w:rPr>
              <w:t>Séquestration CO2</w:t>
            </w:r>
          </w:p>
        </w:tc>
        <w:tc>
          <w:tcPr>
            <w:tcW w:w="1066" w:type="pct"/>
            <w:shd w:val="clear" w:color="auto" w:fill="BF8F00" w:themeFill="accent4" w:themeFillShade="BF"/>
            <w:hideMark/>
          </w:tcPr>
          <w:p w14:paraId="1DBF94DB" w14:textId="77777777" w:rsidR="00C03EC4" w:rsidRPr="002E75D4" w:rsidRDefault="00C03EC4" w:rsidP="000D6136">
            <w:pPr>
              <w:pStyle w:val="Lgende"/>
              <w:jc w:val="center"/>
              <w:rPr>
                <w:rFonts w:asciiTheme="majorHAnsi" w:hAnsiTheme="majorHAnsi" w:cstheme="majorHAnsi"/>
                <w:b/>
                <w:bCs/>
                <w:color w:val="auto"/>
                <w:sz w:val="24"/>
                <w:szCs w:val="24"/>
              </w:rPr>
            </w:pPr>
            <w:r w:rsidRPr="002E75D4">
              <w:rPr>
                <w:rFonts w:asciiTheme="majorHAnsi" w:hAnsiTheme="majorHAnsi" w:cstheme="majorHAnsi"/>
                <w:b/>
                <w:bCs/>
                <w:color w:val="auto"/>
                <w:sz w:val="24"/>
                <w:szCs w:val="24"/>
              </w:rPr>
              <w:t>Emission CH4</w:t>
            </w:r>
          </w:p>
        </w:tc>
        <w:tc>
          <w:tcPr>
            <w:tcW w:w="1089" w:type="pct"/>
            <w:shd w:val="clear" w:color="auto" w:fill="00B050"/>
            <w:hideMark/>
          </w:tcPr>
          <w:p w14:paraId="59BE5CF7" w14:textId="77777777" w:rsidR="00C03EC4" w:rsidRPr="002E75D4" w:rsidRDefault="00C03EC4" w:rsidP="000D6136">
            <w:pPr>
              <w:pStyle w:val="Lgende"/>
              <w:jc w:val="center"/>
              <w:rPr>
                <w:rFonts w:asciiTheme="majorHAnsi" w:hAnsiTheme="majorHAnsi" w:cstheme="majorHAnsi"/>
                <w:b/>
                <w:bCs/>
                <w:color w:val="auto"/>
                <w:sz w:val="24"/>
                <w:szCs w:val="24"/>
              </w:rPr>
            </w:pPr>
            <w:r w:rsidRPr="002E75D4">
              <w:rPr>
                <w:rFonts w:asciiTheme="majorHAnsi" w:hAnsiTheme="majorHAnsi" w:cstheme="majorHAnsi"/>
                <w:b/>
                <w:bCs/>
                <w:color w:val="auto"/>
                <w:sz w:val="24"/>
                <w:szCs w:val="24"/>
              </w:rPr>
              <w:t>Emission N2O</w:t>
            </w:r>
          </w:p>
        </w:tc>
        <w:tc>
          <w:tcPr>
            <w:tcW w:w="771" w:type="pct"/>
            <w:shd w:val="clear" w:color="auto" w:fill="FF0000"/>
            <w:hideMark/>
          </w:tcPr>
          <w:p w14:paraId="77014D8A" w14:textId="77777777" w:rsidR="00C03EC4" w:rsidRPr="002E75D4" w:rsidRDefault="00C03EC4" w:rsidP="000D6136">
            <w:pPr>
              <w:pStyle w:val="Lgende"/>
              <w:jc w:val="center"/>
              <w:rPr>
                <w:rFonts w:asciiTheme="majorHAnsi" w:hAnsiTheme="majorHAnsi" w:cstheme="majorHAnsi"/>
                <w:b/>
                <w:bCs/>
                <w:color w:val="auto"/>
                <w:sz w:val="24"/>
                <w:szCs w:val="24"/>
              </w:rPr>
            </w:pPr>
            <w:r w:rsidRPr="002E75D4">
              <w:rPr>
                <w:rFonts w:asciiTheme="majorHAnsi" w:hAnsiTheme="majorHAnsi" w:cstheme="majorHAnsi"/>
                <w:b/>
                <w:bCs/>
                <w:color w:val="auto"/>
                <w:sz w:val="24"/>
                <w:szCs w:val="24"/>
              </w:rPr>
              <w:t>Bilan net</w:t>
            </w:r>
          </w:p>
        </w:tc>
      </w:tr>
      <w:tr w:rsidR="00C03EC4" w:rsidRPr="002E75D4" w14:paraId="00645438"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660" w:type="pct"/>
            <w:shd w:val="clear" w:color="auto" w:fill="FFD5D5"/>
            <w:noWrap/>
            <w:hideMark/>
          </w:tcPr>
          <w:p w14:paraId="4BAA06C9"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2015</w:t>
            </w:r>
          </w:p>
        </w:tc>
        <w:tc>
          <w:tcPr>
            <w:tcW w:w="1414" w:type="pct"/>
            <w:noWrap/>
            <w:hideMark/>
          </w:tcPr>
          <w:p w14:paraId="54D33611"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-317 974</w:t>
            </w:r>
          </w:p>
        </w:tc>
        <w:tc>
          <w:tcPr>
            <w:tcW w:w="1066" w:type="pct"/>
            <w:shd w:val="clear" w:color="auto" w:fill="FFE599" w:themeFill="accent4" w:themeFillTint="66"/>
            <w:noWrap/>
            <w:hideMark/>
          </w:tcPr>
          <w:p w14:paraId="45CE1D57"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36941</w:t>
            </w:r>
          </w:p>
        </w:tc>
        <w:tc>
          <w:tcPr>
            <w:tcW w:w="1089" w:type="pct"/>
            <w:shd w:val="clear" w:color="auto" w:fill="ABFFD1"/>
            <w:noWrap/>
            <w:hideMark/>
          </w:tcPr>
          <w:p w14:paraId="0F48736B"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23039</w:t>
            </w:r>
          </w:p>
        </w:tc>
        <w:tc>
          <w:tcPr>
            <w:tcW w:w="771" w:type="pct"/>
            <w:shd w:val="clear" w:color="auto" w:fill="FFDDE8"/>
            <w:noWrap/>
            <w:hideMark/>
          </w:tcPr>
          <w:p w14:paraId="6980770E"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-257 994</w:t>
            </w:r>
          </w:p>
        </w:tc>
      </w:tr>
      <w:tr w:rsidR="00C03EC4" w:rsidRPr="002E75D4" w14:paraId="7AB4CA3F" w14:textId="77777777" w:rsidTr="000D6136">
        <w:trPr>
          <w:trHeight w:val="300"/>
        </w:trPr>
        <w:tc>
          <w:tcPr>
            <w:tcW w:w="660" w:type="pct"/>
            <w:shd w:val="clear" w:color="auto" w:fill="FFF3F3"/>
            <w:noWrap/>
            <w:hideMark/>
          </w:tcPr>
          <w:p w14:paraId="23FF8CB0" w14:textId="77777777" w:rsidR="00C03EC4" w:rsidRPr="002E75D4" w:rsidRDefault="00C03EC4" w:rsidP="000D6136">
            <w:pPr>
              <w:spacing w:after="120"/>
              <w:rPr>
                <w:rFonts w:asciiTheme="majorHAnsi" w:hAnsiTheme="majorHAnsi" w:cstheme="majorHAnsi"/>
                <w:bCs/>
                <w:sz w:val="24"/>
                <w:szCs w:val="24"/>
              </w:rPr>
            </w:pPr>
            <w:r w:rsidRPr="002E75D4">
              <w:rPr>
                <w:rFonts w:asciiTheme="majorHAnsi" w:hAnsiTheme="majorHAnsi" w:cstheme="majorHAnsi"/>
                <w:bCs/>
                <w:sz w:val="24"/>
                <w:szCs w:val="24"/>
              </w:rPr>
              <w:t>2016</w:t>
            </w:r>
          </w:p>
        </w:tc>
        <w:tc>
          <w:tcPr>
            <w:tcW w:w="1414" w:type="pct"/>
            <w:noWrap/>
            <w:hideMark/>
          </w:tcPr>
          <w:p w14:paraId="1DC4F317"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-322 055</w:t>
            </w:r>
          </w:p>
        </w:tc>
        <w:tc>
          <w:tcPr>
            <w:tcW w:w="1066" w:type="pct"/>
            <w:shd w:val="clear" w:color="auto" w:fill="FFF2CC" w:themeFill="accent4" w:themeFillTint="33"/>
            <w:noWrap/>
            <w:hideMark/>
          </w:tcPr>
          <w:p w14:paraId="27AE6F3B"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51539</w:t>
            </w:r>
          </w:p>
        </w:tc>
        <w:tc>
          <w:tcPr>
            <w:tcW w:w="1089" w:type="pct"/>
            <w:shd w:val="clear" w:color="auto" w:fill="D9FFEA"/>
            <w:noWrap/>
            <w:hideMark/>
          </w:tcPr>
          <w:p w14:paraId="69EDF4E9"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23929</w:t>
            </w:r>
          </w:p>
        </w:tc>
        <w:tc>
          <w:tcPr>
            <w:tcW w:w="771" w:type="pct"/>
            <w:shd w:val="clear" w:color="auto" w:fill="FFEBF2"/>
            <w:noWrap/>
            <w:hideMark/>
          </w:tcPr>
          <w:p w14:paraId="68D97D9C"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-246 587</w:t>
            </w:r>
          </w:p>
        </w:tc>
      </w:tr>
      <w:tr w:rsidR="00C03EC4" w:rsidRPr="002E75D4" w14:paraId="5AEC3722"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660" w:type="pct"/>
            <w:shd w:val="clear" w:color="auto" w:fill="FFD5D5"/>
            <w:noWrap/>
            <w:hideMark/>
          </w:tcPr>
          <w:p w14:paraId="04BFC767"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2017</w:t>
            </w:r>
          </w:p>
        </w:tc>
        <w:tc>
          <w:tcPr>
            <w:tcW w:w="1414" w:type="pct"/>
            <w:noWrap/>
            <w:hideMark/>
          </w:tcPr>
          <w:p w14:paraId="4C517F47"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-325 309</w:t>
            </w:r>
          </w:p>
        </w:tc>
        <w:tc>
          <w:tcPr>
            <w:tcW w:w="1066" w:type="pct"/>
            <w:shd w:val="clear" w:color="auto" w:fill="FFE599" w:themeFill="accent4" w:themeFillTint="66"/>
            <w:noWrap/>
            <w:hideMark/>
          </w:tcPr>
          <w:p w14:paraId="6D8C9DDB"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61623</w:t>
            </w:r>
          </w:p>
        </w:tc>
        <w:tc>
          <w:tcPr>
            <w:tcW w:w="1089" w:type="pct"/>
            <w:shd w:val="clear" w:color="auto" w:fill="ABFFD1"/>
            <w:noWrap/>
            <w:hideMark/>
          </w:tcPr>
          <w:p w14:paraId="4690DD4F"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25719</w:t>
            </w:r>
          </w:p>
        </w:tc>
        <w:tc>
          <w:tcPr>
            <w:tcW w:w="771" w:type="pct"/>
            <w:shd w:val="clear" w:color="auto" w:fill="FFDDE8"/>
            <w:noWrap/>
            <w:hideMark/>
          </w:tcPr>
          <w:p w14:paraId="3E86F831" w14:textId="77777777" w:rsidR="00C03EC4" w:rsidRPr="002E75D4" w:rsidRDefault="00C03EC4" w:rsidP="000D6136">
            <w:pPr>
              <w:pStyle w:val="Lgende"/>
              <w:jc w:val="center"/>
              <w:rPr>
                <w:rFonts w:asciiTheme="majorHAnsi" w:hAnsiTheme="majorHAnsi" w:cstheme="majorHAnsi"/>
                <w:b w:val="0"/>
                <w:sz w:val="24"/>
                <w:szCs w:val="24"/>
              </w:rPr>
            </w:pPr>
            <w:r w:rsidRPr="002E75D4">
              <w:rPr>
                <w:rFonts w:asciiTheme="majorHAnsi" w:hAnsiTheme="majorHAnsi" w:cstheme="majorHAnsi"/>
                <w:b w:val="0"/>
                <w:sz w:val="24"/>
                <w:szCs w:val="24"/>
              </w:rPr>
              <w:t>-237 967</w:t>
            </w:r>
          </w:p>
        </w:tc>
      </w:tr>
    </w:tbl>
    <w:p w14:paraId="330BEA32" w14:textId="77777777" w:rsidR="00C03EC4" w:rsidRPr="002E75D4" w:rsidRDefault="00C03EC4" w:rsidP="00C03EC4">
      <w:pPr>
        <w:spacing w:after="120"/>
        <w:jc w:val="both"/>
        <w:rPr>
          <w:rFonts w:asciiTheme="majorHAnsi" w:hAnsiTheme="majorHAnsi" w:cstheme="majorHAnsi"/>
          <w:sz w:val="20"/>
          <w:szCs w:val="20"/>
        </w:rPr>
      </w:pPr>
      <w:r w:rsidRPr="00896D42">
        <w:rPr>
          <w:rFonts w:asciiTheme="majorHAnsi" w:hAnsiTheme="majorHAnsi" w:cstheme="majorHAnsi"/>
          <w:b/>
          <w:sz w:val="20"/>
          <w:szCs w:val="20"/>
        </w:rPr>
        <w:t xml:space="preserve">  </w:t>
      </w:r>
      <w:r w:rsidRPr="00896D42">
        <w:rPr>
          <w:rFonts w:asciiTheme="majorHAnsi" w:hAnsiTheme="majorHAnsi" w:cstheme="majorHAnsi"/>
          <w:b/>
          <w:sz w:val="20"/>
          <w:szCs w:val="20"/>
          <w:u w:val="single"/>
        </w:rPr>
        <w:t>Source</w:t>
      </w:r>
      <w:r w:rsidRPr="002E75D4">
        <w:rPr>
          <w:rFonts w:asciiTheme="majorHAnsi" w:hAnsiTheme="majorHAnsi" w:cstheme="majorHAnsi"/>
          <w:sz w:val="20"/>
          <w:szCs w:val="20"/>
        </w:rPr>
        <w:t> : Rapport BUR 2019</w:t>
      </w:r>
    </w:p>
    <w:p w14:paraId="6B2447A5" w14:textId="77777777" w:rsidR="00C03EC4" w:rsidRDefault="00C03EC4" w:rsidP="00C03EC4">
      <w:pPr>
        <w:spacing w:after="120" w:line="240" w:lineRule="auto"/>
        <w:jc w:val="both"/>
        <w:rPr>
          <w:rFonts w:asciiTheme="majorHAnsi" w:hAnsiTheme="majorHAnsi" w:cstheme="majorHAnsi"/>
          <w:sz w:val="20"/>
          <w:szCs w:val="20"/>
        </w:rPr>
      </w:pPr>
    </w:p>
    <w:p w14:paraId="69DD69B8" w14:textId="77777777" w:rsidR="00C03EC4" w:rsidRPr="002E75D4" w:rsidRDefault="00C03EC4" w:rsidP="00C03EC4">
      <w:pPr>
        <w:spacing w:after="120" w:line="240" w:lineRule="auto"/>
        <w:jc w:val="both"/>
        <w:rPr>
          <w:rFonts w:asciiTheme="majorHAnsi" w:hAnsiTheme="majorHAnsi" w:cstheme="majorHAnsi"/>
          <w:sz w:val="24"/>
          <w:szCs w:val="32"/>
        </w:rPr>
      </w:pPr>
      <w:r w:rsidRPr="002E75D4">
        <w:rPr>
          <w:rFonts w:asciiTheme="majorHAnsi" w:hAnsiTheme="majorHAnsi" w:cstheme="majorHAnsi"/>
          <w:sz w:val="24"/>
          <w:szCs w:val="32"/>
        </w:rPr>
        <w:t xml:space="preserve">Le bilan net du secteur </w:t>
      </w:r>
      <w:r w:rsidRPr="002E75D4">
        <w:rPr>
          <w:rFonts w:asciiTheme="majorHAnsi" w:hAnsiTheme="majorHAnsi" w:cstheme="majorHAnsi"/>
          <w:sz w:val="24"/>
          <w:szCs w:val="24"/>
        </w:rPr>
        <w:t>foresterie et des changements d’affectation des terres est un bilan de séquestration des GES</w:t>
      </w:r>
      <w:r w:rsidRPr="002E75D4">
        <w:rPr>
          <w:rFonts w:asciiTheme="majorHAnsi" w:hAnsiTheme="majorHAnsi" w:cstheme="majorHAnsi"/>
          <w:sz w:val="24"/>
          <w:szCs w:val="32"/>
        </w:rPr>
        <w:t xml:space="preserve"> qui permet au Mali d’être un puits de carbone.</w:t>
      </w:r>
    </w:p>
    <w:p w14:paraId="6E2D9D85" w14:textId="77777777" w:rsidR="00C03EC4" w:rsidRPr="00A021BD" w:rsidRDefault="00C03EC4" w:rsidP="00C03EC4">
      <w:pPr>
        <w:spacing w:line="240" w:lineRule="auto"/>
        <w:jc w:val="both"/>
        <w:rPr>
          <w:rFonts w:cstheme="minorHAnsi"/>
          <w:sz w:val="24"/>
          <w:szCs w:val="24"/>
        </w:rPr>
      </w:pPr>
      <w:r w:rsidRPr="00A021BD">
        <w:rPr>
          <w:rFonts w:cstheme="minorHAnsi"/>
          <w:sz w:val="24"/>
          <w:szCs w:val="24"/>
        </w:rPr>
        <w:t>Niveau de séquestration de carbone par région</w:t>
      </w:r>
    </w:p>
    <w:p w14:paraId="6700E3CF" w14:textId="77777777" w:rsidR="00C03EC4" w:rsidRPr="00A021BD" w:rsidRDefault="00C03EC4" w:rsidP="00C03EC4">
      <w:pPr>
        <w:spacing w:line="240" w:lineRule="auto"/>
        <w:jc w:val="both"/>
        <w:rPr>
          <w:rFonts w:cstheme="minorHAnsi"/>
          <w:sz w:val="24"/>
          <w:szCs w:val="24"/>
        </w:rPr>
      </w:pPr>
      <w:r w:rsidRPr="002E75D4">
        <w:rPr>
          <w:rFonts w:asciiTheme="majorHAnsi" w:hAnsiTheme="majorHAnsi" w:cstheme="majorHAnsi"/>
          <w:sz w:val="24"/>
          <w:szCs w:val="24"/>
        </w:rPr>
        <w:t>Le stock de carbone de chaque région est un indicateur de potentialité de la région pour la séquestration du carbone. Il est évalué à partir des données d’inventaires forestiers nationaux (2006 et 2014) compilées par le SIFOR. Ce stock fait l’objet du tableau ci-après pour l’année 2015.</w:t>
      </w:r>
    </w:p>
    <w:p w14:paraId="28307D01" w14:textId="77777777" w:rsidR="00C03EC4" w:rsidRDefault="00C03EC4" w:rsidP="00C03EC4">
      <w:pPr>
        <w:spacing w:after="0"/>
        <w:jc w:val="both"/>
        <w:rPr>
          <w:rFonts w:asciiTheme="majorHAnsi" w:hAnsiTheme="majorHAnsi" w:cstheme="majorHAnsi"/>
          <w:b/>
          <w:bCs/>
          <w:sz w:val="24"/>
          <w:szCs w:val="24"/>
          <w:u w:val="single"/>
        </w:rPr>
      </w:pPr>
    </w:p>
    <w:p w14:paraId="67384C0E" w14:textId="77777777" w:rsidR="00C03EC4" w:rsidRDefault="00C03EC4" w:rsidP="00C03EC4">
      <w:pPr>
        <w:spacing w:after="0"/>
        <w:jc w:val="both"/>
        <w:rPr>
          <w:rFonts w:asciiTheme="majorHAnsi" w:hAnsiTheme="majorHAnsi" w:cstheme="majorHAnsi"/>
          <w:b/>
          <w:bCs/>
          <w:sz w:val="24"/>
          <w:szCs w:val="24"/>
          <w:u w:val="single"/>
        </w:rPr>
      </w:pPr>
    </w:p>
    <w:p w14:paraId="75CA93DE" w14:textId="77777777" w:rsidR="00C03EC4" w:rsidRDefault="00C03EC4" w:rsidP="00C03EC4">
      <w:pPr>
        <w:spacing w:after="0"/>
        <w:jc w:val="both"/>
        <w:rPr>
          <w:rFonts w:asciiTheme="majorHAnsi" w:hAnsiTheme="majorHAnsi" w:cstheme="majorHAnsi"/>
          <w:b/>
          <w:bCs/>
          <w:sz w:val="24"/>
          <w:szCs w:val="24"/>
          <w:u w:val="single"/>
        </w:rPr>
      </w:pPr>
    </w:p>
    <w:p w14:paraId="7797A33B" w14:textId="77777777" w:rsidR="00C03EC4" w:rsidRDefault="00C03EC4" w:rsidP="00C03EC4">
      <w:pPr>
        <w:spacing w:after="0"/>
        <w:jc w:val="both"/>
        <w:rPr>
          <w:rFonts w:asciiTheme="majorHAnsi" w:hAnsiTheme="majorHAnsi" w:cstheme="majorHAnsi"/>
          <w:b/>
          <w:bCs/>
          <w:sz w:val="24"/>
          <w:szCs w:val="24"/>
          <w:u w:val="single"/>
        </w:rPr>
      </w:pPr>
    </w:p>
    <w:p w14:paraId="0F5E0ABE" w14:textId="77777777" w:rsidR="00C03EC4" w:rsidRDefault="00C03EC4" w:rsidP="00C03EC4">
      <w:pPr>
        <w:spacing w:after="0"/>
        <w:jc w:val="both"/>
        <w:rPr>
          <w:rFonts w:asciiTheme="majorHAnsi" w:hAnsiTheme="majorHAnsi" w:cstheme="majorHAnsi"/>
          <w:b/>
          <w:bCs/>
          <w:sz w:val="24"/>
          <w:szCs w:val="24"/>
          <w:u w:val="single"/>
        </w:rPr>
      </w:pPr>
    </w:p>
    <w:p w14:paraId="25CEDBB0" w14:textId="77777777" w:rsidR="00C03EC4" w:rsidRDefault="00C03EC4" w:rsidP="00C03EC4">
      <w:pPr>
        <w:spacing w:after="0"/>
        <w:jc w:val="both"/>
        <w:rPr>
          <w:rFonts w:asciiTheme="majorHAnsi" w:hAnsiTheme="majorHAnsi" w:cstheme="majorHAnsi"/>
          <w:b/>
          <w:bCs/>
          <w:sz w:val="24"/>
          <w:szCs w:val="24"/>
          <w:u w:val="single"/>
        </w:rPr>
      </w:pPr>
    </w:p>
    <w:p w14:paraId="0BCEBF6A" w14:textId="77777777" w:rsidR="00C03EC4" w:rsidRDefault="00C03EC4" w:rsidP="00C03EC4">
      <w:pPr>
        <w:spacing w:after="0"/>
        <w:jc w:val="both"/>
        <w:rPr>
          <w:rFonts w:asciiTheme="majorHAnsi" w:hAnsiTheme="majorHAnsi" w:cstheme="majorHAnsi"/>
          <w:b/>
          <w:bCs/>
          <w:sz w:val="24"/>
          <w:szCs w:val="24"/>
          <w:u w:val="single"/>
        </w:rPr>
      </w:pPr>
    </w:p>
    <w:p w14:paraId="1591FC22" w14:textId="77777777" w:rsidR="00C03EC4" w:rsidRPr="002E75D4" w:rsidRDefault="00C03EC4" w:rsidP="00C03EC4">
      <w:pPr>
        <w:spacing w:after="0"/>
        <w:jc w:val="both"/>
        <w:rPr>
          <w:rFonts w:asciiTheme="majorHAnsi" w:hAnsiTheme="majorHAnsi" w:cstheme="majorHAnsi"/>
        </w:rPr>
      </w:pPr>
      <w:r w:rsidRPr="007C42D7">
        <w:rPr>
          <w:rFonts w:asciiTheme="majorHAnsi" w:hAnsiTheme="majorHAnsi" w:cstheme="majorHAnsi"/>
          <w:b/>
          <w:bCs/>
          <w:sz w:val="24"/>
          <w:szCs w:val="24"/>
          <w:u w:val="single"/>
        </w:rPr>
        <w:t>Tableau 7</w:t>
      </w:r>
      <w:r w:rsidRPr="002E75D4">
        <w:rPr>
          <w:rFonts w:asciiTheme="majorHAnsi" w:hAnsiTheme="majorHAnsi" w:cstheme="majorHAnsi"/>
          <w:b/>
          <w:bCs/>
          <w:sz w:val="24"/>
          <w:szCs w:val="24"/>
        </w:rPr>
        <w:t xml:space="preserve"> :</w:t>
      </w:r>
      <w:r w:rsidRPr="002E75D4">
        <w:rPr>
          <w:rFonts w:asciiTheme="majorHAnsi" w:hAnsiTheme="majorHAnsi" w:cstheme="majorHAnsi"/>
          <w:sz w:val="24"/>
          <w:szCs w:val="24"/>
        </w:rPr>
        <w:t xml:space="preserve"> stock de carbone par région (année 2015)</w:t>
      </w:r>
    </w:p>
    <w:p w14:paraId="1C8267CA" w14:textId="77777777" w:rsidR="00C03EC4" w:rsidRPr="002E75D4" w:rsidRDefault="00C03EC4" w:rsidP="00C03EC4">
      <w:pPr>
        <w:spacing w:after="0"/>
        <w:jc w:val="both"/>
        <w:rPr>
          <w:rFonts w:asciiTheme="majorHAnsi" w:hAnsiTheme="majorHAnsi" w:cstheme="majorHAnsi"/>
        </w:rPr>
      </w:pPr>
    </w:p>
    <w:tbl>
      <w:tblPr>
        <w:tblStyle w:val="Grillemoyenne3-Accent1"/>
        <w:tblW w:w="5000" w:type="pct"/>
        <w:tblLook w:val="0420" w:firstRow="1" w:lastRow="0" w:firstColumn="0" w:lastColumn="0" w:noHBand="0" w:noVBand="1"/>
      </w:tblPr>
      <w:tblGrid>
        <w:gridCol w:w="1518"/>
        <w:gridCol w:w="4382"/>
        <w:gridCol w:w="3719"/>
      </w:tblGrid>
      <w:tr w:rsidR="00C03EC4" w:rsidRPr="002E75D4" w14:paraId="20678060" w14:textId="77777777" w:rsidTr="000D6136">
        <w:trPr>
          <w:cnfStyle w:val="100000000000" w:firstRow="1" w:lastRow="0" w:firstColumn="0" w:lastColumn="0" w:oddVBand="0" w:evenVBand="0" w:oddHBand="0" w:evenHBand="0" w:firstRowFirstColumn="0" w:firstRowLastColumn="0" w:lastRowFirstColumn="0" w:lastRowLastColumn="0"/>
          <w:trHeight w:val="295"/>
        </w:trPr>
        <w:tc>
          <w:tcPr>
            <w:tcW w:w="789" w:type="pct"/>
            <w:shd w:val="clear" w:color="auto" w:fill="C00000"/>
            <w:noWrap/>
            <w:vAlign w:val="top"/>
            <w:hideMark/>
          </w:tcPr>
          <w:p w14:paraId="51D47624" w14:textId="77777777" w:rsidR="00C03EC4" w:rsidRPr="002E75D4" w:rsidRDefault="00C03EC4" w:rsidP="000D6136">
            <w:pPr>
              <w:spacing w:before="120" w:after="120"/>
              <w:rPr>
                <w:rFonts w:asciiTheme="majorHAnsi" w:hAnsiTheme="majorHAnsi" w:cstheme="majorHAnsi"/>
                <w:color w:val="auto"/>
              </w:rPr>
            </w:pPr>
            <w:r w:rsidRPr="002E75D4">
              <w:rPr>
                <w:rFonts w:asciiTheme="majorHAnsi" w:hAnsiTheme="majorHAnsi" w:cstheme="majorHAnsi"/>
                <w:color w:val="auto"/>
              </w:rPr>
              <w:t>Régions</w:t>
            </w:r>
          </w:p>
        </w:tc>
        <w:tc>
          <w:tcPr>
            <w:tcW w:w="2278" w:type="pct"/>
            <w:shd w:val="clear" w:color="auto" w:fill="002060"/>
            <w:vAlign w:val="top"/>
            <w:hideMark/>
          </w:tcPr>
          <w:p w14:paraId="5EC52109" w14:textId="77777777" w:rsidR="00C03EC4" w:rsidRPr="002E75D4" w:rsidRDefault="00C03EC4" w:rsidP="000D6136">
            <w:pPr>
              <w:spacing w:before="120" w:after="120"/>
              <w:rPr>
                <w:rFonts w:asciiTheme="majorHAnsi" w:hAnsiTheme="majorHAnsi" w:cstheme="majorHAnsi"/>
                <w:color w:val="auto"/>
              </w:rPr>
            </w:pPr>
            <w:r w:rsidRPr="002E75D4">
              <w:rPr>
                <w:rFonts w:asciiTheme="majorHAnsi" w:hAnsiTheme="majorHAnsi" w:cstheme="majorHAnsi"/>
                <w:color w:val="auto"/>
              </w:rPr>
              <w:t>Superficie des formations végétales (ha)</w:t>
            </w:r>
          </w:p>
        </w:tc>
        <w:tc>
          <w:tcPr>
            <w:tcW w:w="1934" w:type="pct"/>
            <w:shd w:val="clear" w:color="auto" w:fill="BF8F00" w:themeFill="accent4" w:themeFillShade="BF"/>
            <w:vAlign w:val="top"/>
            <w:hideMark/>
          </w:tcPr>
          <w:p w14:paraId="4B914DEE" w14:textId="77777777" w:rsidR="00C03EC4" w:rsidRPr="002E75D4" w:rsidRDefault="00C03EC4" w:rsidP="000D6136">
            <w:pPr>
              <w:spacing w:before="120" w:after="120"/>
              <w:rPr>
                <w:rFonts w:asciiTheme="majorHAnsi" w:hAnsiTheme="majorHAnsi" w:cstheme="majorHAnsi"/>
                <w:color w:val="auto"/>
              </w:rPr>
            </w:pPr>
            <w:r w:rsidRPr="002E75D4">
              <w:rPr>
                <w:rFonts w:asciiTheme="majorHAnsi" w:hAnsiTheme="majorHAnsi" w:cstheme="majorHAnsi"/>
                <w:color w:val="auto"/>
              </w:rPr>
              <w:t>Stock de carbone en tonne par ha</w:t>
            </w:r>
          </w:p>
        </w:tc>
      </w:tr>
      <w:tr w:rsidR="00C03EC4" w:rsidRPr="002E75D4" w14:paraId="501E13B0" w14:textId="77777777" w:rsidTr="000D6136">
        <w:trPr>
          <w:cnfStyle w:val="000000100000" w:firstRow="0" w:lastRow="0" w:firstColumn="0" w:lastColumn="0" w:oddVBand="0" w:evenVBand="0" w:oddHBand="1" w:evenHBand="0" w:firstRowFirstColumn="0" w:firstRowLastColumn="0" w:lastRowFirstColumn="0" w:lastRowLastColumn="0"/>
          <w:trHeight w:val="288"/>
        </w:trPr>
        <w:tc>
          <w:tcPr>
            <w:tcW w:w="789" w:type="pct"/>
            <w:shd w:val="clear" w:color="auto" w:fill="FFE1E1"/>
            <w:noWrap/>
            <w:hideMark/>
          </w:tcPr>
          <w:p w14:paraId="3DB49F58" w14:textId="77777777" w:rsidR="00C03EC4" w:rsidRPr="002E75D4" w:rsidRDefault="00C03EC4" w:rsidP="000D6136">
            <w:pPr>
              <w:spacing w:before="120" w:after="120"/>
              <w:jc w:val="left"/>
              <w:rPr>
                <w:rFonts w:asciiTheme="majorHAnsi" w:hAnsiTheme="majorHAnsi" w:cstheme="majorHAnsi"/>
              </w:rPr>
            </w:pPr>
            <w:r w:rsidRPr="002E75D4">
              <w:rPr>
                <w:rFonts w:asciiTheme="majorHAnsi" w:hAnsiTheme="majorHAnsi" w:cstheme="majorHAnsi"/>
              </w:rPr>
              <w:t>Gao</w:t>
            </w:r>
          </w:p>
        </w:tc>
        <w:tc>
          <w:tcPr>
            <w:tcW w:w="2278" w:type="pct"/>
            <w:noWrap/>
            <w:hideMark/>
          </w:tcPr>
          <w:p w14:paraId="5551BCD9"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6 829 421,13</w:t>
            </w:r>
          </w:p>
        </w:tc>
        <w:tc>
          <w:tcPr>
            <w:tcW w:w="1934" w:type="pct"/>
            <w:shd w:val="clear" w:color="auto" w:fill="FFE599" w:themeFill="accent4" w:themeFillTint="66"/>
            <w:noWrap/>
            <w:hideMark/>
          </w:tcPr>
          <w:p w14:paraId="3BC6AE6B"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2 868,76</w:t>
            </w:r>
          </w:p>
        </w:tc>
      </w:tr>
      <w:tr w:rsidR="00C03EC4" w:rsidRPr="002E75D4" w14:paraId="6A7F578F" w14:textId="77777777" w:rsidTr="000D6136">
        <w:trPr>
          <w:trHeight w:val="288"/>
        </w:trPr>
        <w:tc>
          <w:tcPr>
            <w:tcW w:w="789" w:type="pct"/>
            <w:shd w:val="clear" w:color="auto" w:fill="FFF3F3"/>
            <w:noWrap/>
            <w:hideMark/>
          </w:tcPr>
          <w:p w14:paraId="2CE63875" w14:textId="77777777" w:rsidR="00C03EC4" w:rsidRPr="002E75D4" w:rsidRDefault="00C03EC4" w:rsidP="000D6136">
            <w:pPr>
              <w:spacing w:before="120" w:after="120"/>
              <w:jc w:val="left"/>
              <w:rPr>
                <w:rFonts w:asciiTheme="majorHAnsi" w:hAnsiTheme="majorHAnsi" w:cstheme="majorHAnsi"/>
              </w:rPr>
            </w:pPr>
            <w:r w:rsidRPr="002E75D4">
              <w:rPr>
                <w:rFonts w:asciiTheme="majorHAnsi" w:hAnsiTheme="majorHAnsi" w:cstheme="majorHAnsi"/>
              </w:rPr>
              <w:t>Kayes</w:t>
            </w:r>
          </w:p>
        </w:tc>
        <w:tc>
          <w:tcPr>
            <w:tcW w:w="2278" w:type="pct"/>
            <w:noWrap/>
            <w:hideMark/>
          </w:tcPr>
          <w:p w14:paraId="17109B1A"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12 204 511,00</w:t>
            </w:r>
          </w:p>
        </w:tc>
        <w:tc>
          <w:tcPr>
            <w:tcW w:w="1934" w:type="pct"/>
            <w:shd w:val="clear" w:color="auto" w:fill="FFF2CC" w:themeFill="accent4" w:themeFillTint="33"/>
            <w:noWrap/>
            <w:hideMark/>
          </w:tcPr>
          <w:p w14:paraId="731AE991"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47 226,77</w:t>
            </w:r>
          </w:p>
        </w:tc>
      </w:tr>
      <w:tr w:rsidR="00C03EC4" w:rsidRPr="002E75D4" w14:paraId="76C7BA6D" w14:textId="77777777" w:rsidTr="000D6136">
        <w:trPr>
          <w:cnfStyle w:val="000000100000" w:firstRow="0" w:lastRow="0" w:firstColumn="0" w:lastColumn="0" w:oddVBand="0" w:evenVBand="0" w:oddHBand="1" w:evenHBand="0" w:firstRowFirstColumn="0" w:firstRowLastColumn="0" w:lastRowFirstColumn="0" w:lastRowLastColumn="0"/>
          <w:trHeight w:val="288"/>
        </w:trPr>
        <w:tc>
          <w:tcPr>
            <w:tcW w:w="789" w:type="pct"/>
            <w:shd w:val="clear" w:color="auto" w:fill="FFE1E1"/>
            <w:noWrap/>
            <w:hideMark/>
          </w:tcPr>
          <w:p w14:paraId="324EFAC4" w14:textId="77777777" w:rsidR="00C03EC4" w:rsidRPr="002E75D4" w:rsidRDefault="00C03EC4" w:rsidP="000D6136">
            <w:pPr>
              <w:spacing w:before="120" w:after="120"/>
              <w:jc w:val="left"/>
              <w:rPr>
                <w:rFonts w:asciiTheme="majorHAnsi" w:hAnsiTheme="majorHAnsi" w:cstheme="majorHAnsi"/>
              </w:rPr>
            </w:pPr>
            <w:r w:rsidRPr="002E75D4">
              <w:rPr>
                <w:rFonts w:asciiTheme="majorHAnsi" w:hAnsiTheme="majorHAnsi" w:cstheme="majorHAnsi"/>
              </w:rPr>
              <w:t>Koulikoro</w:t>
            </w:r>
          </w:p>
        </w:tc>
        <w:tc>
          <w:tcPr>
            <w:tcW w:w="2278" w:type="pct"/>
            <w:noWrap/>
            <w:hideMark/>
          </w:tcPr>
          <w:p w14:paraId="1AF707AC"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9 067 847,48</w:t>
            </w:r>
          </w:p>
        </w:tc>
        <w:tc>
          <w:tcPr>
            <w:tcW w:w="1934" w:type="pct"/>
            <w:shd w:val="clear" w:color="auto" w:fill="FFE599" w:themeFill="accent4" w:themeFillTint="66"/>
            <w:noWrap/>
            <w:hideMark/>
          </w:tcPr>
          <w:p w14:paraId="11EE1C7E"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44 173,23</w:t>
            </w:r>
          </w:p>
        </w:tc>
      </w:tr>
      <w:tr w:rsidR="00C03EC4" w:rsidRPr="002E75D4" w14:paraId="5343AF42" w14:textId="77777777" w:rsidTr="000D6136">
        <w:trPr>
          <w:trHeight w:val="288"/>
        </w:trPr>
        <w:tc>
          <w:tcPr>
            <w:tcW w:w="789" w:type="pct"/>
            <w:shd w:val="clear" w:color="auto" w:fill="FFF3F3"/>
            <w:noWrap/>
            <w:hideMark/>
          </w:tcPr>
          <w:p w14:paraId="6747F1B0" w14:textId="77777777" w:rsidR="00C03EC4" w:rsidRPr="002E75D4" w:rsidRDefault="00C03EC4" w:rsidP="000D6136">
            <w:pPr>
              <w:spacing w:before="120" w:after="120"/>
              <w:jc w:val="left"/>
              <w:rPr>
                <w:rFonts w:asciiTheme="majorHAnsi" w:hAnsiTheme="majorHAnsi" w:cstheme="majorHAnsi"/>
              </w:rPr>
            </w:pPr>
            <w:r w:rsidRPr="002E75D4">
              <w:rPr>
                <w:rFonts w:asciiTheme="majorHAnsi" w:hAnsiTheme="majorHAnsi" w:cstheme="majorHAnsi"/>
              </w:rPr>
              <w:t>Mopti</w:t>
            </w:r>
          </w:p>
        </w:tc>
        <w:tc>
          <w:tcPr>
            <w:tcW w:w="2278" w:type="pct"/>
            <w:noWrap/>
            <w:hideMark/>
          </w:tcPr>
          <w:p w14:paraId="4E0FE426"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6 606 605,70</w:t>
            </w:r>
          </w:p>
        </w:tc>
        <w:tc>
          <w:tcPr>
            <w:tcW w:w="1934" w:type="pct"/>
            <w:shd w:val="clear" w:color="auto" w:fill="FFF2CC" w:themeFill="accent4" w:themeFillTint="33"/>
            <w:noWrap/>
            <w:hideMark/>
          </w:tcPr>
          <w:p w14:paraId="52B05F45"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2 622,76</w:t>
            </w:r>
          </w:p>
        </w:tc>
      </w:tr>
      <w:tr w:rsidR="00C03EC4" w:rsidRPr="002E75D4" w14:paraId="6E085E39" w14:textId="77777777" w:rsidTr="000D6136">
        <w:trPr>
          <w:cnfStyle w:val="000000100000" w:firstRow="0" w:lastRow="0" w:firstColumn="0" w:lastColumn="0" w:oddVBand="0" w:evenVBand="0" w:oddHBand="1" w:evenHBand="0" w:firstRowFirstColumn="0" w:firstRowLastColumn="0" w:lastRowFirstColumn="0" w:lastRowLastColumn="0"/>
          <w:trHeight w:val="288"/>
        </w:trPr>
        <w:tc>
          <w:tcPr>
            <w:tcW w:w="789" w:type="pct"/>
            <w:shd w:val="clear" w:color="auto" w:fill="FFE1E1"/>
            <w:noWrap/>
            <w:hideMark/>
          </w:tcPr>
          <w:p w14:paraId="66A764F8" w14:textId="77777777" w:rsidR="00C03EC4" w:rsidRPr="002E75D4" w:rsidRDefault="00C03EC4" w:rsidP="000D6136">
            <w:pPr>
              <w:spacing w:before="120" w:after="120"/>
              <w:jc w:val="left"/>
              <w:rPr>
                <w:rFonts w:asciiTheme="majorHAnsi" w:hAnsiTheme="majorHAnsi" w:cstheme="majorHAnsi"/>
              </w:rPr>
            </w:pPr>
            <w:r w:rsidRPr="002E75D4">
              <w:rPr>
                <w:rFonts w:asciiTheme="majorHAnsi" w:hAnsiTheme="majorHAnsi" w:cstheme="majorHAnsi"/>
              </w:rPr>
              <w:t>Ségou</w:t>
            </w:r>
          </w:p>
        </w:tc>
        <w:tc>
          <w:tcPr>
            <w:tcW w:w="2278" w:type="pct"/>
            <w:noWrap/>
            <w:hideMark/>
          </w:tcPr>
          <w:p w14:paraId="3ED970CF"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6 618 006,00</w:t>
            </w:r>
          </w:p>
        </w:tc>
        <w:tc>
          <w:tcPr>
            <w:tcW w:w="1934" w:type="pct"/>
            <w:shd w:val="clear" w:color="auto" w:fill="FFE599" w:themeFill="accent4" w:themeFillTint="66"/>
            <w:noWrap/>
            <w:hideMark/>
          </w:tcPr>
          <w:p w14:paraId="36C99290"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30 911,17</w:t>
            </w:r>
          </w:p>
        </w:tc>
      </w:tr>
      <w:tr w:rsidR="00C03EC4" w:rsidRPr="002E75D4" w14:paraId="289301DE" w14:textId="77777777" w:rsidTr="000D6136">
        <w:trPr>
          <w:trHeight w:val="288"/>
        </w:trPr>
        <w:tc>
          <w:tcPr>
            <w:tcW w:w="789" w:type="pct"/>
            <w:shd w:val="clear" w:color="auto" w:fill="FFF3F3"/>
            <w:noWrap/>
            <w:hideMark/>
          </w:tcPr>
          <w:p w14:paraId="5213AE96" w14:textId="77777777" w:rsidR="00C03EC4" w:rsidRPr="002E75D4" w:rsidRDefault="00C03EC4" w:rsidP="000D6136">
            <w:pPr>
              <w:spacing w:before="120" w:after="120"/>
              <w:jc w:val="left"/>
              <w:rPr>
                <w:rFonts w:asciiTheme="majorHAnsi" w:hAnsiTheme="majorHAnsi" w:cstheme="majorHAnsi"/>
              </w:rPr>
            </w:pPr>
            <w:r w:rsidRPr="002E75D4">
              <w:rPr>
                <w:rFonts w:asciiTheme="majorHAnsi" w:hAnsiTheme="majorHAnsi" w:cstheme="majorHAnsi"/>
              </w:rPr>
              <w:t>Sikasso</w:t>
            </w:r>
          </w:p>
        </w:tc>
        <w:tc>
          <w:tcPr>
            <w:tcW w:w="2278" w:type="pct"/>
            <w:noWrap/>
            <w:hideMark/>
          </w:tcPr>
          <w:p w14:paraId="581D9053"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7 156 607,45</w:t>
            </w:r>
          </w:p>
        </w:tc>
        <w:tc>
          <w:tcPr>
            <w:tcW w:w="1934" w:type="pct"/>
            <w:shd w:val="clear" w:color="auto" w:fill="FFF2CC" w:themeFill="accent4" w:themeFillTint="33"/>
            <w:noWrap/>
            <w:hideMark/>
          </w:tcPr>
          <w:p w14:paraId="0136A635"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92 421,37</w:t>
            </w:r>
          </w:p>
        </w:tc>
      </w:tr>
      <w:tr w:rsidR="00C03EC4" w:rsidRPr="002E75D4" w14:paraId="76F82527" w14:textId="77777777" w:rsidTr="000D6136">
        <w:trPr>
          <w:cnfStyle w:val="000000100000" w:firstRow="0" w:lastRow="0" w:firstColumn="0" w:lastColumn="0" w:oddVBand="0" w:evenVBand="0" w:oddHBand="1" w:evenHBand="0" w:firstRowFirstColumn="0" w:firstRowLastColumn="0" w:lastRowFirstColumn="0" w:lastRowLastColumn="0"/>
          <w:trHeight w:val="288"/>
        </w:trPr>
        <w:tc>
          <w:tcPr>
            <w:tcW w:w="789" w:type="pct"/>
            <w:shd w:val="clear" w:color="auto" w:fill="FFE1E1"/>
            <w:noWrap/>
            <w:hideMark/>
          </w:tcPr>
          <w:p w14:paraId="2ABB677C" w14:textId="77777777" w:rsidR="00C03EC4" w:rsidRPr="002E75D4" w:rsidRDefault="00C03EC4" w:rsidP="000D6136">
            <w:pPr>
              <w:spacing w:before="120" w:after="120"/>
              <w:jc w:val="left"/>
              <w:rPr>
                <w:rFonts w:asciiTheme="majorHAnsi" w:hAnsiTheme="majorHAnsi" w:cstheme="majorHAnsi"/>
              </w:rPr>
            </w:pPr>
            <w:r w:rsidRPr="002E75D4">
              <w:rPr>
                <w:rFonts w:asciiTheme="majorHAnsi" w:hAnsiTheme="majorHAnsi" w:cstheme="majorHAnsi"/>
              </w:rPr>
              <w:t>Tombouctou</w:t>
            </w:r>
          </w:p>
        </w:tc>
        <w:tc>
          <w:tcPr>
            <w:tcW w:w="2278" w:type="pct"/>
            <w:noWrap/>
            <w:hideMark/>
          </w:tcPr>
          <w:p w14:paraId="727DCA1C"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6 493 154,22</w:t>
            </w:r>
          </w:p>
        </w:tc>
        <w:tc>
          <w:tcPr>
            <w:tcW w:w="1934" w:type="pct"/>
            <w:shd w:val="clear" w:color="auto" w:fill="FFE599" w:themeFill="accent4" w:themeFillTint="66"/>
            <w:noWrap/>
            <w:hideMark/>
          </w:tcPr>
          <w:p w14:paraId="5EBF965C"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534,80</w:t>
            </w:r>
          </w:p>
        </w:tc>
      </w:tr>
      <w:tr w:rsidR="00C03EC4" w:rsidRPr="002E75D4" w14:paraId="5D61FE84" w14:textId="77777777" w:rsidTr="000D6136">
        <w:trPr>
          <w:trHeight w:val="288"/>
        </w:trPr>
        <w:tc>
          <w:tcPr>
            <w:tcW w:w="789" w:type="pct"/>
            <w:shd w:val="clear" w:color="auto" w:fill="FFF3F3"/>
            <w:noWrap/>
            <w:hideMark/>
          </w:tcPr>
          <w:p w14:paraId="28B6524A" w14:textId="77777777" w:rsidR="00C03EC4" w:rsidRPr="002E75D4" w:rsidRDefault="00C03EC4" w:rsidP="000D6136">
            <w:pPr>
              <w:spacing w:before="120" w:after="120"/>
              <w:jc w:val="left"/>
              <w:rPr>
                <w:rFonts w:asciiTheme="majorHAnsi" w:hAnsiTheme="majorHAnsi" w:cstheme="majorHAnsi"/>
              </w:rPr>
            </w:pPr>
            <w:r w:rsidRPr="002E75D4">
              <w:rPr>
                <w:rFonts w:asciiTheme="majorHAnsi" w:hAnsiTheme="majorHAnsi" w:cstheme="majorHAnsi"/>
              </w:rPr>
              <w:t>Bamako</w:t>
            </w:r>
          </w:p>
        </w:tc>
        <w:tc>
          <w:tcPr>
            <w:tcW w:w="2278" w:type="pct"/>
            <w:noWrap/>
            <w:hideMark/>
          </w:tcPr>
          <w:p w14:paraId="757FA3F1"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24 539,00</w:t>
            </w:r>
          </w:p>
        </w:tc>
        <w:tc>
          <w:tcPr>
            <w:tcW w:w="1934" w:type="pct"/>
            <w:shd w:val="clear" w:color="auto" w:fill="FFF2CC" w:themeFill="accent4" w:themeFillTint="33"/>
            <w:noWrap/>
            <w:hideMark/>
          </w:tcPr>
          <w:p w14:paraId="3CC14432"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1 136,26</w:t>
            </w:r>
          </w:p>
        </w:tc>
      </w:tr>
      <w:tr w:rsidR="00C03EC4" w:rsidRPr="002E75D4" w14:paraId="3FBD1418"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789" w:type="pct"/>
            <w:shd w:val="clear" w:color="auto" w:fill="FFE1E1"/>
            <w:noWrap/>
            <w:hideMark/>
          </w:tcPr>
          <w:p w14:paraId="136DEB51" w14:textId="77777777" w:rsidR="00C03EC4" w:rsidRPr="002E75D4" w:rsidRDefault="00C03EC4" w:rsidP="000D6136">
            <w:pPr>
              <w:spacing w:before="120" w:after="120"/>
              <w:jc w:val="left"/>
              <w:rPr>
                <w:rFonts w:asciiTheme="majorHAnsi" w:hAnsiTheme="majorHAnsi" w:cstheme="majorHAnsi"/>
              </w:rPr>
            </w:pPr>
            <w:r w:rsidRPr="002E75D4">
              <w:rPr>
                <w:rFonts w:asciiTheme="majorHAnsi" w:hAnsiTheme="majorHAnsi" w:cstheme="majorHAnsi"/>
              </w:rPr>
              <w:t>Kidal</w:t>
            </w:r>
          </w:p>
        </w:tc>
        <w:tc>
          <w:tcPr>
            <w:tcW w:w="2278" w:type="pct"/>
            <w:noWrap/>
            <w:hideMark/>
          </w:tcPr>
          <w:p w14:paraId="7AE94256"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0,00</w:t>
            </w:r>
          </w:p>
        </w:tc>
        <w:tc>
          <w:tcPr>
            <w:tcW w:w="1934" w:type="pct"/>
            <w:shd w:val="clear" w:color="auto" w:fill="FFE599" w:themeFill="accent4" w:themeFillTint="66"/>
            <w:noWrap/>
            <w:hideMark/>
          </w:tcPr>
          <w:p w14:paraId="61A2DB1F" w14:textId="77777777" w:rsidR="00C03EC4" w:rsidRPr="002E75D4" w:rsidRDefault="00C03EC4" w:rsidP="000D6136">
            <w:pPr>
              <w:spacing w:before="120" w:after="120"/>
              <w:jc w:val="right"/>
              <w:rPr>
                <w:rFonts w:asciiTheme="majorHAnsi" w:hAnsiTheme="majorHAnsi" w:cstheme="majorHAnsi"/>
              </w:rPr>
            </w:pPr>
            <w:r w:rsidRPr="002E75D4">
              <w:rPr>
                <w:rFonts w:asciiTheme="majorHAnsi" w:hAnsiTheme="majorHAnsi" w:cstheme="majorHAnsi"/>
              </w:rPr>
              <w:t>0,00</w:t>
            </w:r>
          </w:p>
        </w:tc>
      </w:tr>
    </w:tbl>
    <w:p w14:paraId="53B8C2C5" w14:textId="77777777" w:rsidR="00C03EC4" w:rsidRPr="002E75D4" w:rsidRDefault="00C03EC4" w:rsidP="00C03EC4">
      <w:pPr>
        <w:spacing w:after="0"/>
        <w:jc w:val="both"/>
        <w:rPr>
          <w:rFonts w:asciiTheme="majorHAnsi" w:hAnsiTheme="majorHAnsi" w:cstheme="majorHAnsi"/>
          <w:sz w:val="24"/>
          <w:szCs w:val="24"/>
        </w:rPr>
      </w:pPr>
    </w:p>
    <w:p w14:paraId="7214E88A" w14:textId="77777777" w:rsidR="00C03EC4" w:rsidRPr="002E75D4" w:rsidRDefault="00C03EC4" w:rsidP="00C03EC4">
      <w:pPr>
        <w:spacing w:after="120"/>
        <w:jc w:val="both"/>
        <w:rPr>
          <w:rFonts w:asciiTheme="majorHAnsi" w:hAnsiTheme="majorHAnsi" w:cstheme="majorHAnsi"/>
          <w:sz w:val="24"/>
          <w:szCs w:val="24"/>
        </w:rPr>
      </w:pPr>
      <w:r w:rsidRPr="002E75D4">
        <w:rPr>
          <w:rFonts w:asciiTheme="majorHAnsi" w:hAnsiTheme="majorHAnsi" w:cstheme="majorHAnsi"/>
          <w:sz w:val="24"/>
          <w:szCs w:val="24"/>
        </w:rPr>
        <w:t xml:space="preserve">Le niveau de séquestration de carbone (en tonnes par ha) par formations forestières et par entités administratives (communes, régions) pour l’année 2015 fait l’objet de la figure ci- après. </w:t>
      </w:r>
    </w:p>
    <w:p w14:paraId="2729E255" w14:textId="77777777" w:rsidR="00C03EC4" w:rsidRDefault="00C03EC4" w:rsidP="00C03EC4">
      <w:pPr>
        <w:spacing w:after="120"/>
        <w:jc w:val="both"/>
        <w:rPr>
          <w:rFonts w:asciiTheme="majorHAnsi" w:hAnsiTheme="majorHAnsi" w:cstheme="majorHAnsi"/>
          <w:sz w:val="24"/>
          <w:szCs w:val="24"/>
        </w:rPr>
      </w:pPr>
      <w:r w:rsidRPr="002E75D4">
        <w:rPr>
          <w:rFonts w:asciiTheme="majorHAnsi" w:hAnsiTheme="majorHAnsi" w:cstheme="majorHAnsi"/>
          <w:bCs/>
          <w:noProof/>
          <w:lang w:eastAsia="fr-FR"/>
        </w:rPr>
        <w:drawing>
          <wp:anchor distT="0" distB="0" distL="114300" distR="114300" simplePos="0" relativeHeight="251663360" behindDoc="0" locked="0" layoutInCell="1" allowOverlap="1" wp14:anchorId="0C6EA7B5" wp14:editId="0C2479E3">
            <wp:simplePos x="0" y="0"/>
            <wp:positionH relativeFrom="margin">
              <wp:posOffset>343535</wp:posOffset>
            </wp:positionH>
            <wp:positionV relativeFrom="paragraph">
              <wp:posOffset>464820</wp:posOffset>
            </wp:positionV>
            <wp:extent cx="5220335" cy="3408045"/>
            <wp:effectExtent l="0" t="0" r="0" b="0"/>
            <wp:wrapTopAndBottom/>
            <wp:docPr id="19" name="Image 1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rte&#10;&#10;Description générée automatiquemen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13" b="4433"/>
                    <a:stretch/>
                  </pic:blipFill>
                  <pic:spPr bwMode="auto">
                    <a:xfrm>
                      <a:off x="0" y="0"/>
                      <a:ext cx="5220335" cy="3408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75D4">
        <w:rPr>
          <w:rFonts w:asciiTheme="majorHAnsi" w:hAnsiTheme="majorHAnsi" w:cstheme="majorHAnsi"/>
          <w:sz w:val="24"/>
          <w:szCs w:val="24"/>
        </w:rPr>
        <w:t>Ces données représentent une ligne de références qui permet d’orienter les interventions dans le cadre de la mise en œuvre des actions à l’échelle d’un territoire donné.</w:t>
      </w:r>
    </w:p>
    <w:p w14:paraId="0CDC9573" w14:textId="77777777" w:rsidR="00C03EC4" w:rsidRDefault="00C03EC4" w:rsidP="00C03EC4">
      <w:pPr>
        <w:spacing w:after="120"/>
        <w:jc w:val="both"/>
        <w:rPr>
          <w:rFonts w:asciiTheme="majorHAnsi" w:hAnsiTheme="majorHAnsi" w:cstheme="majorHAnsi"/>
          <w:sz w:val="24"/>
          <w:szCs w:val="24"/>
        </w:rPr>
      </w:pPr>
    </w:p>
    <w:p w14:paraId="055E0398" w14:textId="77777777" w:rsidR="00C03EC4" w:rsidRPr="00F24A9E" w:rsidRDefault="00C03EC4" w:rsidP="00C03EC4">
      <w:pPr>
        <w:spacing w:after="120"/>
        <w:jc w:val="both"/>
        <w:rPr>
          <w:rFonts w:asciiTheme="majorHAnsi" w:hAnsiTheme="majorHAnsi" w:cstheme="majorHAnsi"/>
          <w:sz w:val="24"/>
          <w:szCs w:val="24"/>
        </w:rPr>
      </w:pPr>
    </w:p>
    <w:p w14:paraId="02BC9525" w14:textId="77777777" w:rsidR="00C03EC4" w:rsidRPr="005F51BC" w:rsidRDefault="00C03EC4" w:rsidP="00C03EC4">
      <w:pPr>
        <w:pStyle w:val="Paragraphedeliste"/>
        <w:numPr>
          <w:ilvl w:val="2"/>
          <w:numId w:val="68"/>
        </w:numPr>
        <w:spacing w:after="120"/>
        <w:jc w:val="both"/>
        <w:rPr>
          <w:rFonts w:asciiTheme="majorHAnsi" w:hAnsiTheme="majorHAnsi" w:cstheme="majorHAnsi"/>
          <w:b/>
          <w:sz w:val="30"/>
          <w:szCs w:val="30"/>
        </w:rPr>
      </w:pPr>
      <w:r w:rsidRPr="005F51BC">
        <w:rPr>
          <w:rFonts w:asciiTheme="majorHAnsi" w:hAnsiTheme="majorHAnsi" w:cstheme="majorHAnsi"/>
          <w:b/>
          <w:sz w:val="30"/>
          <w:szCs w:val="30"/>
        </w:rPr>
        <w:t xml:space="preserve">Émissions dans le secteur des Déchets </w:t>
      </w:r>
    </w:p>
    <w:p w14:paraId="17B26564" w14:textId="77777777" w:rsidR="00C03EC4" w:rsidRPr="005F51BC" w:rsidRDefault="00C03EC4" w:rsidP="00C03EC4">
      <w:pPr>
        <w:jc w:val="both"/>
        <w:rPr>
          <w:rFonts w:asciiTheme="majorHAnsi" w:hAnsiTheme="majorHAnsi" w:cstheme="majorHAnsi"/>
          <w:b/>
          <w:bCs/>
          <w:sz w:val="24"/>
          <w:szCs w:val="24"/>
        </w:rPr>
      </w:pPr>
      <w:r w:rsidRPr="005F51BC">
        <w:rPr>
          <w:rFonts w:asciiTheme="majorHAnsi" w:hAnsiTheme="majorHAnsi" w:cstheme="majorHAnsi"/>
          <w:b/>
          <w:bCs/>
          <w:sz w:val="24"/>
          <w:szCs w:val="24"/>
        </w:rPr>
        <w:t xml:space="preserve">Caractéristiques du secteur </w:t>
      </w:r>
    </w:p>
    <w:p w14:paraId="31E8629B" w14:textId="77777777" w:rsidR="00C03EC4" w:rsidRPr="002E75D4" w:rsidRDefault="00C03EC4" w:rsidP="00C03EC4">
      <w:pPr>
        <w:spacing w:line="240" w:lineRule="auto"/>
        <w:jc w:val="both"/>
        <w:rPr>
          <w:rFonts w:asciiTheme="majorHAnsi" w:hAnsiTheme="majorHAnsi" w:cstheme="majorHAnsi"/>
          <w:sz w:val="24"/>
        </w:rPr>
      </w:pPr>
      <w:r w:rsidRPr="002E75D4">
        <w:rPr>
          <w:rFonts w:asciiTheme="majorHAnsi" w:eastAsia="Calibri" w:hAnsiTheme="majorHAnsi" w:cstheme="majorHAnsi"/>
          <w:sz w:val="24"/>
          <w:szCs w:val="24"/>
        </w:rPr>
        <w:t>Selon leur nature, les déchets sont classifiés en deux types de déchets, les déchets solides et les déchets liquides, et selon leur catégorie, ils sont classés en Déchets Solides Ménagers et en Déchets Industriels.</w:t>
      </w:r>
    </w:p>
    <w:p w14:paraId="3B1BA468" w14:textId="77777777" w:rsidR="00C03EC4" w:rsidRPr="002E75D4" w:rsidRDefault="00C03EC4" w:rsidP="00C03EC4">
      <w:pPr>
        <w:spacing w:after="12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 xml:space="preserve">La stratégie nationale de gestion des déchets solides prévoit un conditionnement au niveau des ménages, la pré collecte vers les dépôts de transit et l’évacuation vers les décharges finales ou les centres d’enfouissement.  </w:t>
      </w:r>
    </w:p>
    <w:p w14:paraId="2E7F0A4A" w14:textId="77777777" w:rsidR="00C03EC4" w:rsidRPr="002E75D4" w:rsidRDefault="00C03EC4" w:rsidP="00C03EC4">
      <w:pPr>
        <w:spacing w:after="12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Au Mali, la gestion des déchets souffre de manque d’infrastructures de traitement.</w:t>
      </w:r>
    </w:p>
    <w:p w14:paraId="5ABA90EC" w14:textId="77777777" w:rsidR="00C03EC4" w:rsidRPr="002E75D4" w:rsidRDefault="00C03EC4" w:rsidP="00C03EC4">
      <w:pPr>
        <w:spacing w:after="12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A l’échelle nationale, on dispose de deux décharges finales (à Bamako et à Sikasso) et sept stations de traitement des eaux usées à : Bamako (Sotuba, Point G, Hôpital du Mali, Cité Administrative, CANAM), Mopti, Tombouctou et Sikasso.</w:t>
      </w:r>
    </w:p>
    <w:p w14:paraId="425697FC" w14:textId="77777777" w:rsidR="00C03EC4" w:rsidRPr="002E75D4" w:rsidRDefault="00C03EC4" w:rsidP="00C03EC4">
      <w:pPr>
        <w:spacing w:after="12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 xml:space="preserve"> Ce manque d’infrastructures ouvre la porte à une gestion peu appropriée et non contrôlée des déchets qui par ricochet entraine la multiplicité des dépôts sauvages et de déversement des boues de vidange dans la nature. </w:t>
      </w:r>
    </w:p>
    <w:p w14:paraId="0F1167C1" w14:textId="77777777" w:rsidR="00C03EC4" w:rsidRPr="002E75D4" w:rsidRDefault="00C03EC4" w:rsidP="00C03EC4">
      <w:pPr>
        <w:spacing w:after="12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Les dépôts sauvages ou illégaux sont des dépôts d’ordures abandonnés dans l’environnement de manière inadéquate, volontairement ou par négligence, dans des zones accessibles au public ou sur des terrains privés avec ou sans le consentement du propriétaire.</w:t>
      </w:r>
    </w:p>
    <w:p w14:paraId="29C61C59" w14:textId="77777777" w:rsidR="00C03EC4" w:rsidRPr="002E75D4" w:rsidRDefault="00C03EC4" w:rsidP="00C03EC4">
      <w:pPr>
        <w:spacing w:after="12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 xml:space="preserve">Les voies et les systèmes d’élimination des déchets varient fortement d’une région à une autre et dépendent de nombreux facteurs tels la densité de la population, l’urbanisation et les conditions économiques. </w:t>
      </w:r>
    </w:p>
    <w:p w14:paraId="303A55E1" w14:textId="77777777" w:rsidR="00C03EC4" w:rsidRPr="002E75D4" w:rsidRDefault="00C03EC4" w:rsidP="00C03EC4">
      <w:pPr>
        <w:spacing w:after="12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Les émissions de GES varient en fonction du type des déchets produits.</w:t>
      </w:r>
    </w:p>
    <w:p w14:paraId="48FD6085" w14:textId="77777777" w:rsidR="00C03EC4" w:rsidRPr="002E75D4" w:rsidRDefault="00C03EC4" w:rsidP="00C03EC4">
      <w:pPr>
        <w:spacing w:after="12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Le tableau 8 ci-dessous précise les sous- catégories du secteur des déchets énoncées dans les lignes directrices du GIEC 2006. Chaque sous- catégorie n’émet que certains gaz.</w:t>
      </w:r>
    </w:p>
    <w:p w14:paraId="3B6CA89B" w14:textId="77777777" w:rsidR="00C03EC4" w:rsidRPr="002E75D4" w:rsidRDefault="00C03EC4" w:rsidP="00C03EC4">
      <w:pPr>
        <w:pStyle w:val="Lgende"/>
        <w:rPr>
          <w:rFonts w:asciiTheme="majorHAnsi" w:hAnsiTheme="majorHAnsi" w:cstheme="majorHAnsi"/>
          <w:b w:val="0"/>
          <w:sz w:val="24"/>
          <w:szCs w:val="24"/>
          <w:u w:val="single"/>
        </w:rPr>
      </w:pPr>
    </w:p>
    <w:p w14:paraId="528D176D" w14:textId="77777777" w:rsidR="00C03EC4" w:rsidRPr="002E75D4" w:rsidRDefault="00C03EC4" w:rsidP="00C03EC4">
      <w:pPr>
        <w:pStyle w:val="Lgende"/>
        <w:rPr>
          <w:rFonts w:asciiTheme="majorHAnsi" w:hAnsiTheme="majorHAnsi" w:cstheme="majorHAnsi"/>
          <w:b w:val="0"/>
          <w:bCs w:val="0"/>
          <w:sz w:val="24"/>
          <w:szCs w:val="24"/>
        </w:rPr>
      </w:pPr>
      <w:r w:rsidRPr="007C42D7">
        <w:rPr>
          <w:rFonts w:asciiTheme="majorHAnsi" w:hAnsiTheme="majorHAnsi" w:cstheme="majorHAnsi"/>
          <w:sz w:val="24"/>
          <w:szCs w:val="24"/>
          <w:u w:val="single"/>
        </w:rPr>
        <w:t>Tableau 8</w:t>
      </w:r>
      <w:r w:rsidRPr="002E75D4">
        <w:rPr>
          <w:rFonts w:asciiTheme="majorHAnsi" w:hAnsiTheme="majorHAnsi" w:cstheme="majorHAnsi"/>
          <w:b w:val="0"/>
          <w:sz w:val="24"/>
          <w:szCs w:val="24"/>
        </w:rPr>
        <w:t xml:space="preserve"> :</w:t>
      </w:r>
      <w:r w:rsidRPr="002E75D4">
        <w:rPr>
          <w:rFonts w:asciiTheme="majorHAnsi" w:hAnsiTheme="majorHAnsi" w:cstheme="majorHAnsi"/>
          <w:b w:val="0"/>
          <w:bCs w:val="0"/>
          <w:sz w:val="24"/>
          <w:szCs w:val="24"/>
        </w:rPr>
        <w:t xml:space="preserve"> catégorie de déchets et types de gaz correspondant</w:t>
      </w:r>
    </w:p>
    <w:p w14:paraId="09C897A1" w14:textId="77777777" w:rsidR="00C03EC4" w:rsidRPr="002E75D4" w:rsidRDefault="00C03EC4" w:rsidP="00C03EC4">
      <w:pPr>
        <w:spacing w:after="0" w:line="240" w:lineRule="auto"/>
        <w:jc w:val="both"/>
        <w:rPr>
          <w:rFonts w:asciiTheme="majorHAnsi" w:eastAsia="Calibri" w:hAnsiTheme="majorHAnsi" w:cstheme="majorHAnsi"/>
        </w:rPr>
      </w:pPr>
    </w:p>
    <w:tbl>
      <w:tblPr>
        <w:tblStyle w:val="Grillemoyenne3-Accent1"/>
        <w:tblW w:w="0" w:type="auto"/>
        <w:tblLook w:val="0420" w:firstRow="1" w:lastRow="0" w:firstColumn="0" w:lastColumn="0" w:noHBand="0" w:noVBand="1"/>
      </w:tblPr>
      <w:tblGrid>
        <w:gridCol w:w="3454"/>
        <w:gridCol w:w="3694"/>
        <w:gridCol w:w="2471"/>
      </w:tblGrid>
      <w:tr w:rsidR="00C03EC4" w:rsidRPr="002E75D4" w14:paraId="615754F3" w14:textId="77777777" w:rsidTr="000D6136">
        <w:trPr>
          <w:cnfStyle w:val="100000000000" w:firstRow="1" w:lastRow="0" w:firstColumn="0" w:lastColumn="0" w:oddVBand="0" w:evenVBand="0" w:oddHBand="0" w:evenHBand="0" w:firstRowFirstColumn="0" w:firstRowLastColumn="0" w:lastRowFirstColumn="0" w:lastRowLastColumn="0"/>
        </w:trPr>
        <w:tc>
          <w:tcPr>
            <w:tcW w:w="0" w:type="auto"/>
            <w:shd w:val="clear" w:color="auto" w:fill="000000" w:themeFill="text1"/>
          </w:tcPr>
          <w:p w14:paraId="6F6DA598" w14:textId="77777777" w:rsidR="00C03EC4" w:rsidRPr="002E75D4" w:rsidRDefault="00C03EC4" w:rsidP="000D6136">
            <w:pPr>
              <w:spacing w:after="120"/>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Catégorie</w:t>
            </w:r>
          </w:p>
        </w:tc>
        <w:tc>
          <w:tcPr>
            <w:tcW w:w="0" w:type="auto"/>
            <w:shd w:val="clear" w:color="auto" w:fill="002060"/>
          </w:tcPr>
          <w:p w14:paraId="5C76BB91" w14:textId="77777777" w:rsidR="00C03EC4" w:rsidRPr="002E75D4" w:rsidRDefault="00C03EC4" w:rsidP="000D6136">
            <w:pPr>
              <w:spacing w:after="120"/>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Sous-catégorie</w:t>
            </w:r>
          </w:p>
        </w:tc>
        <w:tc>
          <w:tcPr>
            <w:tcW w:w="0" w:type="auto"/>
            <w:shd w:val="clear" w:color="auto" w:fill="BF8F00" w:themeFill="accent4" w:themeFillShade="BF"/>
          </w:tcPr>
          <w:p w14:paraId="5206938C" w14:textId="77777777" w:rsidR="00C03EC4" w:rsidRPr="002E75D4" w:rsidRDefault="00C03EC4" w:rsidP="000D6136">
            <w:pPr>
              <w:spacing w:after="120"/>
              <w:rPr>
                <w:rFonts w:asciiTheme="majorHAnsi" w:hAnsiTheme="majorHAnsi" w:cstheme="majorHAnsi"/>
                <w:b w:val="0"/>
                <w:color w:val="auto"/>
                <w:sz w:val="24"/>
                <w:szCs w:val="24"/>
              </w:rPr>
            </w:pPr>
            <w:r w:rsidRPr="002E75D4">
              <w:rPr>
                <w:rFonts w:asciiTheme="majorHAnsi" w:hAnsiTheme="majorHAnsi" w:cstheme="majorHAnsi"/>
                <w:b w:val="0"/>
                <w:color w:val="auto"/>
                <w:sz w:val="24"/>
                <w:szCs w:val="24"/>
              </w:rPr>
              <w:t>Gaz émis</w:t>
            </w:r>
          </w:p>
        </w:tc>
      </w:tr>
      <w:tr w:rsidR="00C03EC4" w:rsidRPr="002E75D4" w14:paraId="033253EE"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vMerge w:val="restart"/>
            <w:shd w:val="clear" w:color="auto" w:fill="F2F2F2" w:themeFill="background1" w:themeFillShade="F2"/>
          </w:tcPr>
          <w:p w14:paraId="6E62C81D"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Évacuation des déchets solides </w:t>
            </w:r>
          </w:p>
        </w:tc>
        <w:tc>
          <w:tcPr>
            <w:tcW w:w="0" w:type="auto"/>
          </w:tcPr>
          <w:p w14:paraId="5EA3F892"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 xml:space="preserve">Solides municipaux </w:t>
            </w:r>
          </w:p>
        </w:tc>
        <w:tc>
          <w:tcPr>
            <w:tcW w:w="0" w:type="auto"/>
            <w:shd w:val="clear" w:color="auto" w:fill="FFE599" w:themeFill="accent4" w:themeFillTint="66"/>
          </w:tcPr>
          <w:p w14:paraId="5383D294"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CH4</w:t>
            </w:r>
          </w:p>
        </w:tc>
      </w:tr>
      <w:tr w:rsidR="00C03EC4" w:rsidRPr="002E75D4" w14:paraId="550AD7FA" w14:textId="77777777" w:rsidTr="000D6136">
        <w:tc>
          <w:tcPr>
            <w:tcW w:w="0" w:type="auto"/>
            <w:vMerge/>
            <w:shd w:val="clear" w:color="auto" w:fill="F2F2F2" w:themeFill="background1" w:themeFillShade="F2"/>
          </w:tcPr>
          <w:p w14:paraId="3CCA94F9" w14:textId="77777777" w:rsidR="00C03EC4" w:rsidRPr="002E75D4" w:rsidRDefault="00C03EC4" w:rsidP="000D6136">
            <w:pPr>
              <w:spacing w:after="120"/>
              <w:jc w:val="left"/>
              <w:rPr>
                <w:rFonts w:asciiTheme="majorHAnsi" w:hAnsiTheme="majorHAnsi" w:cstheme="majorHAnsi"/>
                <w:sz w:val="24"/>
                <w:szCs w:val="24"/>
              </w:rPr>
            </w:pPr>
          </w:p>
        </w:tc>
        <w:tc>
          <w:tcPr>
            <w:tcW w:w="0" w:type="auto"/>
          </w:tcPr>
          <w:p w14:paraId="42C1E130"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Solides industriels</w:t>
            </w:r>
          </w:p>
        </w:tc>
        <w:tc>
          <w:tcPr>
            <w:tcW w:w="0" w:type="auto"/>
            <w:shd w:val="clear" w:color="auto" w:fill="FFF2CC" w:themeFill="accent4" w:themeFillTint="33"/>
          </w:tcPr>
          <w:p w14:paraId="22E8B8EB"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CH4</w:t>
            </w:r>
          </w:p>
        </w:tc>
      </w:tr>
      <w:tr w:rsidR="00C03EC4" w:rsidRPr="002E75D4" w14:paraId="4F4FEEEA"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vMerge w:val="restart"/>
            <w:shd w:val="clear" w:color="auto" w:fill="D9D9D9" w:themeFill="background1" w:themeFillShade="D9"/>
          </w:tcPr>
          <w:p w14:paraId="1C0C6C09"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Traitement biologique des déchets solides</w:t>
            </w:r>
          </w:p>
        </w:tc>
        <w:tc>
          <w:tcPr>
            <w:tcW w:w="0" w:type="auto"/>
          </w:tcPr>
          <w:p w14:paraId="2399636C"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Compostage</w:t>
            </w:r>
          </w:p>
        </w:tc>
        <w:tc>
          <w:tcPr>
            <w:tcW w:w="0" w:type="auto"/>
            <w:shd w:val="clear" w:color="auto" w:fill="FFE599" w:themeFill="accent4" w:themeFillTint="66"/>
          </w:tcPr>
          <w:p w14:paraId="4E87EB05"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CH4, N2O</w:t>
            </w:r>
          </w:p>
        </w:tc>
      </w:tr>
      <w:tr w:rsidR="00C03EC4" w:rsidRPr="002E75D4" w14:paraId="58FC8A09" w14:textId="77777777" w:rsidTr="000D6136">
        <w:tc>
          <w:tcPr>
            <w:tcW w:w="0" w:type="auto"/>
            <w:vMerge/>
            <w:shd w:val="clear" w:color="auto" w:fill="D9D9D9" w:themeFill="background1" w:themeFillShade="D9"/>
          </w:tcPr>
          <w:p w14:paraId="488D6784" w14:textId="77777777" w:rsidR="00C03EC4" w:rsidRPr="002E75D4" w:rsidRDefault="00C03EC4" w:rsidP="000D6136">
            <w:pPr>
              <w:spacing w:after="120"/>
              <w:jc w:val="left"/>
              <w:rPr>
                <w:rFonts w:asciiTheme="majorHAnsi" w:hAnsiTheme="majorHAnsi" w:cstheme="majorHAnsi"/>
                <w:sz w:val="24"/>
                <w:szCs w:val="24"/>
              </w:rPr>
            </w:pPr>
          </w:p>
        </w:tc>
        <w:tc>
          <w:tcPr>
            <w:tcW w:w="0" w:type="auto"/>
          </w:tcPr>
          <w:p w14:paraId="73C90AFE"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Digestion anaérobique</w:t>
            </w:r>
          </w:p>
        </w:tc>
        <w:tc>
          <w:tcPr>
            <w:tcW w:w="0" w:type="auto"/>
            <w:shd w:val="clear" w:color="auto" w:fill="FFF2CC" w:themeFill="accent4" w:themeFillTint="33"/>
          </w:tcPr>
          <w:p w14:paraId="02B79C87"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CH4, N2O</w:t>
            </w:r>
          </w:p>
        </w:tc>
      </w:tr>
      <w:tr w:rsidR="00C03EC4" w:rsidRPr="002E75D4" w14:paraId="0011DF8A"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D9D9D9" w:themeFill="background1" w:themeFillShade="D9"/>
          </w:tcPr>
          <w:p w14:paraId="6B484E71" w14:textId="77777777" w:rsidR="00C03EC4" w:rsidRPr="002E75D4" w:rsidRDefault="00C03EC4" w:rsidP="000D6136">
            <w:pPr>
              <w:spacing w:after="120"/>
              <w:jc w:val="left"/>
              <w:rPr>
                <w:rFonts w:asciiTheme="majorHAnsi" w:hAnsiTheme="majorHAnsi" w:cstheme="majorHAnsi"/>
                <w:sz w:val="24"/>
                <w:szCs w:val="24"/>
              </w:rPr>
            </w:pPr>
          </w:p>
        </w:tc>
        <w:tc>
          <w:tcPr>
            <w:tcW w:w="0" w:type="auto"/>
          </w:tcPr>
          <w:p w14:paraId="4FF6275B"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Traitement biologique mécanique</w:t>
            </w:r>
          </w:p>
        </w:tc>
        <w:tc>
          <w:tcPr>
            <w:tcW w:w="0" w:type="auto"/>
            <w:shd w:val="clear" w:color="auto" w:fill="FFE599" w:themeFill="accent4" w:themeFillTint="66"/>
          </w:tcPr>
          <w:p w14:paraId="3150B3E3"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CH4, N2O</w:t>
            </w:r>
          </w:p>
        </w:tc>
      </w:tr>
      <w:tr w:rsidR="00C03EC4" w:rsidRPr="002E75D4" w14:paraId="069D466E" w14:textId="77777777" w:rsidTr="000D6136">
        <w:tc>
          <w:tcPr>
            <w:tcW w:w="0" w:type="auto"/>
            <w:vMerge w:val="restart"/>
            <w:shd w:val="clear" w:color="auto" w:fill="F2F2F2" w:themeFill="background1" w:themeFillShade="F2"/>
          </w:tcPr>
          <w:p w14:paraId="48B95CF7"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Incinération et combustion à l’air libre des déchets</w:t>
            </w:r>
          </w:p>
        </w:tc>
        <w:tc>
          <w:tcPr>
            <w:tcW w:w="0" w:type="auto"/>
          </w:tcPr>
          <w:p w14:paraId="0A30538A"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Incinération des déchets</w:t>
            </w:r>
          </w:p>
        </w:tc>
        <w:tc>
          <w:tcPr>
            <w:tcW w:w="0" w:type="auto"/>
            <w:shd w:val="clear" w:color="auto" w:fill="FFF2CC" w:themeFill="accent4" w:themeFillTint="33"/>
          </w:tcPr>
          <w:p w14:paraId="7B019425"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CO2 (Carbone fossile, CH4 et N2O)</w:t>
            </w:r>
          </w:p>
        </w:tc>
      </w:tr>
      <w:tr w:rsidR="00C03EC4" w:rsidRPr="002E75D4" w14:paraId="61A63D04"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F2F2F2" w:themeFill="background1" w:themeFillShade="F2"/>
          </w:tcPr>
          <w:p w14:paraId="5AA3AE85" w14:textId="77777777" w:rsidR="00C03EC4" w:rsidRPr="002E75D4" w:rsidRDefault="00C03EC4" w:rsidP="000D6136">
            <w:pPr>
              <w:spacing w:after="120"/>
              <w:jc w:val="left"/>
              <w:rPr>
                <w:rFonts w:asciiTheme="majorHAnsi" w:hAnsiTheme="majorHAnsi" w:cstheme="majorHAnsi"/>
                <w:sz w:val="24"/>
                <w:szCs w:val="24"/>
              </w:rPr>
            </w:pPr>
          </w:p>
        </w:tc>
        <w:tc>
          <w:tcPr>
            <w:tcW w:w="0" w:type="auto"/>
          </w:tcPr>
          <w:p w14:paraId="546B05DF"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Combustion à l’air libre des déchets</w:t>
            </w:r>
          </w:p>
        </w:tc>
        <w:tc>
          <w:tcPr>
            <w:tcW w:w="0" w:type="auto"/>
            <w:shd w:val="clear" w:color="auto" w:fill="FFE599" w:themeFill="accent4" w:themeFillTint="66"/>
          </w:tcPr>
          <w:p w14:paraId="28CD28E2"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CO2 (Carbone fossile, CH4 et N2O)</w:t>
            </w:r>
          </w:p>
        </w:tc>
      </w:tr>
      <w:tr w:rsidR="00C03EC4" w:rsidRPr="002E75D4" w14:paraId="48E7AA10" w14:textId="77777777" w:rsidTr="000D6136">
        <w:tc>
          <w:tcPr>
            <w:tcW w:w="0" w:type="auto"/>
            <w:vMerge/>
            <w:shd w:val="clear" w:color="auto" w:fill="F2F2F2" w:themeFill="background1" w:themeFillShade="F2"/>
          </w:tcPr>
          <w:p w14:paraId="417FB744" w14:textId="77777777" w:rsidR="00C03EC4" w:rsidRPr="002E75D4" w:rsidRDefault="00C03EC4" w:rsidP="000D6136">
            <w:pPr>
              <w:spacing w:after="120"/>
              <w:jc w:val="left"/>
              <w:rPr>
                <w:rFonts w:asciiTheme="majorHAnsi" w:hAnsiTheme="majorHAnsi" w:cstheme="majorHAnsi"/>
                <w:sz w:val="24"/>
                <w:szCs w:val="24"/>
              </w:rPr>
            </w:pPr>
          </w:p>
        </w:tc>
        <w:tc>
          <w:tcPr>
            <w:tcW w:w="0" w:type="auto"/>
          </w:tcPr>
          <w:p w14:paraId="5BA68C5C"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Incinération des déchets liquides fossiles</w:t>
            </w:r>
          </w:p>
        </w:tc>
        <w:tc>
          <w:tcPr>
            <w:tcW w:w="0" w:type="auto"/>
            <w:shd w:val="clear" w:color="auto" w:fill="FFF2CC" w:themeFill="accent4" w:themeFillTint="33"/>
          </w:tcPr>
          <w:p w14:paraId="1F638B67"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CO2 (Carbone fossile)</w:t>
            </w:r>
          </w:p>
        </w:tc>
      </w:tr>
      <w:tr w:rsidR="00C03EC4" w:rsidRPr="002E75D4" w14:paraId="5134109E"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vMerge w:val="restart"/>
            <w:shd w:val="clear" w:color="auto" w:fill="D9D9D9" w:themeFill="background1" w:themeFillShade="D9"/>
          </w:tcPr>
          <w:p w14:paraId="7A73F1C3"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Traitement et rejet des eaux usées</w:t>
            </w:r>
          </w:p>
        </w:tc>
        <w:tc>
          <w:tcPr>
            <w:tcW w:w="0" w:type="auto"/>
          </w:tcPr>
          <w:p w14:paraId="4D0ED0C2"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Traitement et évacuation des eaux usées domestiques</w:t>
            </w:r>
          </w:p>
        </w:tc>
        <w:tc>
          <w:tcPr>
            <w:tcW w:w="0" w:type="auto"/>
            <w:shd w:val="clear" w:color="auto" w:fill="FFE599" w:themeFill="accent4" w:themeFillTint="66"/>
          </w:tcPr>
          <w:p w14:paraId="4C6B7353"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 xml:space="preserve">CH4, N2O </w:t>
            </w:r>
          </w:p>
        </w:tc>
      </w:tr>
      <w:tr w:rsidR="00C03EC4" w:rsidRPr="002E75D4" w14:paraId="2C482B39" w14:textId="77777777" w:rsidTr="000D6136">
        <w:tc>
          <w:tcPr>
            <w:tcW w:w="0" w:type="auto"/>
            <w:vMerge/>
            <w:shd w:val="clear" w:color="auto" w:fill="D9D9D9" w:themeFill="background1" w:themeFillShade="D9"/>
          </w:tcPr>
          <w:p w14:paraId="556E5297" w14:textId="77777777" w:rsidR="00C03EC4" w:rsidRPr="002E75D4" w:rsidRDefault="00C03EC4" w:rsidP="000D6136">
            <w:pPr>
              <w:spacing w:after="120"/>
              <w:jc w:val="left"/>
              <w:rPr>
                <w:rFonts w:asciiTheme="majorHAnsi" w:hAnsiTheme="majorHAnsi" w:cstheme="majorHAnsi"/>
                <w:sz w:val="24"/>
                <w:szCs w:val="24"/>
              </w:rPr>
            </w:pPr>
          </w:p>
        </w:tc>
        <w:tc>
          <w:tcPr>
            <w:tcW w:w="0" w:type="auto"/>
          </w:tcPr>
          <w:p w14:paraId="046358DB" w14:textId="77777777" w:rsidR="00C03EC4" w:rsidRPr="002E75D4" w:rsidRDefault="00C03EC4" w:rsidP="000D6136">
            <w:pPr>
              <w:jc w:val="left"/>
              <w:rPr>
                <w:rFonts w:asciiTheme="majorHAnsi" w:hAnsiTheme="majorHAnsi" w:cstheme="majorHAnsi"/>
                <w:sz w:val="24"/>
                <w:szCs w:val="24"/>
              </w:rPr>
            </w:pPr>
            <w:r w:rsidRPr="002E75D4">
              <w:rPr>
                <w:rFonts w:asciiTheme="majorHAnsi" w:hAnsiTheme="majorHAnsi" w:cstheme="majorHAnsi"/>
                <w:sz w:val="24"/>
                <w:szCs w:val="24"/>
              </w:rPr>
              <w:t>Traitement et évacuation des eaux usées industrielles</w:t>
            </w:r>
          </w:p>
        </w:tc>
        <w:tc>
          <w:tcPr>
            <w:tcW w:w="0" w:type="auto"/>
            <w:shd w:val="clear" w:color="auto" w:fill="FFF2CC" w:themeFill="accent4" w:themeFillTint="33"/>
          </w:tcPr>
          <w:p w14:paraId="72546F8B" w14:textId="77777777" w:rsidR="00C03EC4" w:rsidRPr="002E75D4" w:rsidRDefault="00C03EC4" w:rsidP="000D6136">
            <w:pPr>
              <w:spacing w:after="120"/>
              <w:jc w:val="left"/>
              <w:rPr>
                <w:rFonts w:asciiTheme="majorHAnsi" w:hAnsiTheme="majorHAnsi" w:cstheme="majorHAnsi"/>
                <w:sz w:val="24"/>
                <w:szCs w:val="24"/>
              </w:rPr>
            </w:pPr>
            <w:r w:rsidRPr="002E75D4">
              <w:rPr>
                <w:rFonts w:asciiTheme="majorHAnsi" w:hAnsiTheme="majorHAnsi" w:cstheme="majorHAnsi"/>
                <w:sz w:val="24"/>
                <w:szCs w:val="24"/>
              </w:rPr>
              <w:t xml:space="preserve">CH4, N2O </w:t>
            </w:r>
          </w:p>
        </w:tc>
      </w:tr>
    </w:tbl>
    <w:p w14:paraId="67AEE9C5" w14:textId="77777777" w:rsidR="00C03EC4" w:rsidRPr="002E75D4" w:rsidRDefault="00C03EC4" w:rsidP="00C03EC4">
      <w:pPr>
        <w:spacing w:after="0" w:line="240" w:lineRule="auto"/>
        <w:jc w:val="both"/>
        <w:rPr>
          <w:rFonts w:asciiTheme="majorHAnsi" w:eastAsia="Calibri" w:hAnsiTheme="majorHAnsi" w:cstheme="majorHAnsi"/>
          <w:sz w:val="24"/>
          <w:szCs w:val="24"/>
        </w:rPr>
      </w:pPr>
    </w:p>
    <w:p w14:paraId="3C4B1005" w14:textId="77777777" w:rsidR="00C03EC4" w:rsidRPr="002E75D4" w:rsidRDefault="00C03EC4" w:rsidP="00C03EC4">
      <w:pPr>
        <w:spacing w:after="12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La majorité des émissions de GES imputables aux déchets sont attribuées au méthane (CH4) dans les décharges et les stations de traitement des eaux usées. Les émissions d’oxyde nitreux dues aux eaux usées (N2O) et le dioxyde de carbone (CO2) dues à l’incinération sont également des sources d’émissions dues au secteur.</w:t>
      </w:r>
    </w:p>
    <w:p w14:paraId="26B26769" w14:textId="77777777" w:rsidR="00C03EC4" w:rsidRPr="00F24A9E" w:rsidRDefault="00C03EC4" w:rsidP="00C03EC4">
      <w:pPr>
        <w:pStyle w:val="Style1"/>
        <w:ind w:left="0"/>
        <w:rPr>
          <w:sz w:val="24"/>
          <w:szCs w:val="24"/>
        </w:rPr>
      </w:pPr>
      <w:r w:rsidRPr="00F24A9E">
        <w:rPr>
          <w:sz w:val="24"/>
          <w:szCs w:val="24"/>
        </w:rPr>
        <w:t>Émissions de GES au niveau du secteur des déchets</w:t>
      </w:r>
    </w:p>
    <w:p w14:paraId="2535E796" w14:textId="77777777" w:rsidR="00C03EC4" w:rsidRPr="002E75D4" w:rsidRDefault="00C03EC4" w:rsidP="00C03EC4">
      <w:pPr>
        <w:spacing w:line="240" w:lineRule="auto"/>
        <w:jc w:val="both"/>
        <w:rPr>
          <w:rFonts w:asciiTheme="majorHAnsi" w:hAnsiTheme="majorHAnsi" w:cstheme="majorHAnsi"/>
          <w:sz w:val="2"/>
          <w:szCs w:val="24"/>
        </w:rPr>
      </w:pPr>
    </w:p>
    <w:p w14:paraId="20022110"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tableau 9 ci-après récapitule la situation des émissions de GES au niveau du secteur des déchets. En 2019, les émissions globales étaient de 436,12 kT eq CO2.</w:t>
      </w:r>
    </w:p>
    <w:p w14:paraId="0CBB25CD" w14:textId="77777777" w:rsidR="00C03EC4" w:rsidRPr="002E75D4" w:rsidRDefault="00C03EC4" w:rsidP="00C03EC4">
      <w:pPr>
        <w:pStyle w:val="Lgende"/>
        <w:rPr>
          <w:rFonts w:asciiTheme="majorHAnsi" w:hAnsiTheme="majorHAnsi" w:cstheme="majorHAnsi"/>
          <w:b w:val="0"/>
          <w:bCs w:val="0"/>
          <w:sz w:val="24"/>
          <w:szCs w:val="24"/>
        </w:rPr>
      </w:pPr>
      <w:r w:rsidRPr="007C42D7">
        <w:rPr>
          <w:rFonts w:asciiTheme="majorHAnsi" w:hAnsiTheme="majorHAnsi" w:cstheme="majorHAnsi"/>
          <w:sz w:val="24"/>
          <w:szCs w:val="24"/>
          <w:u w:val="single"/>
        </w:rPr>
        <w:t>Tableau 9</w:t>
      </w:r>
      <w:r w:rsidRPr="002E75D4">
        <w:rPr>
          <w:rFonts w:asciiTheme="majorHAnsi" w:hAnsiTheme="majorHAnsi" w:cstheme="majorHAnsi"/>
          <w:b w:val="0"/>
          <w:sz w:val="24"/>
          <w:szCs w:val="24"/>
        </w:rPr>
        <w:t xml:space="preserve"> :</w:t>
      </w:r>
      <w:r w:rsidRPr="002E75D4">
        <w:rPr>
          <w:rFonts w:asciiTheme="majorHAnsi" w:hAnsiTheme="majorHAnsi" w:cstheme="majorHAnsi"/>
          <w:b w:val="0"/>
          <w:bCs w:val="0"/>
          <w:sz w:val="24"/>
          <w:szCs w:val="24"/>
        </w:rPr>
        <w:t xml:space="preserve"> émissions en KT eq CO2 par type de gaz</w:t>
      </w:r>
    </w:p>
    <w:p w14:paraId="02A5EBCA" w14:textId="77777777" w:rsidR="00C03EC4" w:rsidRPr="002E75D4" w:rsidRDefault="00C03EC4" w:rsidP="00C03EC4">
      <w:pPr>
        <w:jc w:val="both"/>
        <w:rPr>
          <w:rFonts w:asciiTheme="majorHAnsi" w:hAnsiTheme="majorHAnsi" w:cstheme="majorHAnsi"/>
          <w:sz w:val="4"/>
        </w:rPr>
      </w:pPr>
    </w:p>
    <w:tbl>
      <w:tblPr>
        <w:tblStyle w:val="Grillemoyenne3-Accent1"/>
        <w:tblW w:w="5000" w:type="pct"/>
        <w:tblLook w:val="0420" w:firstRow="1" w:lastRow="0" w:firstColumn="0" w:lastColumn="0" w:noHBand="0" w:noVBand="1"/>
      </w:tblPr>
      <w:tblGrid>
        <w:gridCol w:w="1615"/>
        <w:gridCol w:w="1359"/>
        <w:gridCol w:w="1559"/>
        <w:gridCol w:w="1558"/>
        <w:gridCol w:w="3528"/>
      </w:tblGrid>
      <w:tr w:rsidR="00C03EC4" w:rsidRPr="002E75D4" w14:paraId="263C4F66" w14:textId="77777777" w:rsidTr="000D6136">
        <w:trPr>
          <w:cnfStyle w:val="100000000000" w:firstRow="1" w:lastRow="0" w:firstColumn="0" w:lastColumn="0" w:oddVBand="0" w:evenVBand="0" w:oddHBand="0" w:evenHBand="0" w:firstRowFirstColumn="0" w:firstRowLastColumn="0" w:lastRowFirstColumn="0" w:lastRowLastColumn="0"/>
          <w:trHeight w:val="585"/>
        </w:trPr>
        <w:tc>
          <w:tcPr>
            <w:tcW w:w="839" w:type="pct"/>
            <w:shd w:val="clear" w:color="auto" w:fill="C00000"/>
            <w:hideMark/>
          </w:tcPr>
          <w:p w14:paraId="32534E58" w14:textId="77777777" w:rsidR="00C03EC4" w:rsidRPr="002E75D4" w:rsidRDefault="00C03EC4" w:rsidP="000D6136">
            <w:pPr>
              <w:rPr>
                <w:rFonts w:asciiTheme="majorHAnsi" w:hAnsiTheme="majorHAnsi" w:cstheme="majorHAnsi"/>
                <w:b w:val="0"/>
                <w:color w:val="auto"/>
                <w:sz w:val="18"/>
                <w:szCs w:val="24"/>
              </w:rPr>
            </w:pPr>
            <w:r w:rsidRPr="002E75D4">
              <w:rPr>
                <w:rFonts w:asciiTheme="majorHAnsi" w:hAnsiTheme="majorHAnsi" w:cstheme="majorHAnsi"/>
                <w:b w:val="0"/>
                <w:color w:val="auto"/>
                <w:sz w:val="18"/>
                <w:szCs w:val="24"/>
              </w:rPr>
              <w:t>Années</w:t>
            </w:r>
          </w:p>
        </w:tc>
        <w:tc>
          <w:tcPr>
            <w:tcW w:w="706" w:type="pct"/>
            <w:shd w:val="clear" w:color="auto" w:fill="002060"/>
            <w:hideMark/>
          </w:tcPr>
          <w:p w14:paraId="40F15505" w14:textId="77777777" w:rsidR="00C03EC4" w:rsidRPr="002E75D4" w:rsidRDefault="00C03EC4" w:rsidP="000D6136">
            <w:pPr>
              <w:rPr>
                <w:rFonts w:asciiTheme="majorHAnsi" w:hAnsiTheme="majorHAnsi" w:cstheme="majorHAnsi"/>
                <w:b w:val="0"/>
                <w:color w:val="auto"/>
                <w:sz w:val="18"/>
                <w:szCs w:val="24"/>
              </w:rPr>
            </w:pPr>
            <w:r w:rsidRPr="002E75D4">
              <w:rPr>
                <w:rFonts w:asciiTheme="majorHAnsi" w:hAnsiTheme="majorHAnsi" w:cstheme="majorHAnsi"/>
                <w:b w:val="0"/>
                <w:color w:val="auto"/>
                <w:sz w:val="18"/>
                <w:szCs w:val="24"/>
              </w:rPr>
              <w:t>CO2</w:t>
            </w:r>
          </w:p>
        </w:tc>
        <w:tc>
          <w:tcPr>
            <w:tcW w:w="810" w:type="pct"/>
            <w:shd w:val="clear" w:color="auto" w:fill="BF8F00" w:themeFill="accent4" w:themeFillShade="BF"/>
            <w:hideMark/>
          </w:tcPr>
          <w:p w14:paraId="05578380" w14:textId="77777777" w:rsidR="00C03EC4" w:rsidRPr="002E75D4" w:rsidRDefault="00C03EC4" w:rsidP="000D6136">
            <w:pPr>
              <w:rPr>
                <w:rFonts w:asciiTheme="majorHAnsi" w:hAnsiTheme="majorHAnsi" w:cstheme="majorHAnsi"/>
                <w:b w:val="0"/>
                <w:color w:val="auto"/>
                <w:sz w:val="18"/>
                <w:szCs w:val="24"/>
              </w:rPr>
            </w:pPr>
            <w:r w:rsidRPr="002E75D4">
              <w:rPr>
                <w:rFonts w:asciiTheme="majorHAnsi" w:hAnsiTheme="majorHAnsi" w:cstheme="majorHAnsi"/>
                <w:b w:val="0"/>
                <w:color w:val="auto"/>
                <w:sz w:val="18"/>
                <w:szCs w:val="24"/>
              </w:rPr>
              <w:t>CH4</w:t>
            </w:r>
          </w:p>
        </w:tc>
        <w:tc>
          <w:tcPr>
            <w:tcW w:w="810" w:type="pct"/>
            <w:shd w:val="clear" w:color="auto" w:fill="538135" w:themeFill="accent6" w:themeFillShade="BF"/>
            <w:hideMark/>
          </w:tcPr>
          <w:p w14:paraId="095C8172" w14:textId="77777777" w:rsidR="00C03EC4" w:rsidRPr="002E75D4" w:rsidRDefault="00C03EC4" w:rsidP="000D6136">
            <w:pPr>
              <w:rPr>
                <w:rFonts w:asciiTheme="majorHAnsi" w:hAnsiTheme="majorHAnsi" w:cstheme="majorHAnsi"/>
                <w:b w:val="0"/>
                <w:color w:val="auto"/>
                <w:sz w:val="18"/>
                <w:szCs w:val="24"/>
              </w:rPr>
            </w:pPr>
            <w:r w:rsidRPr="002E75D4">
              <w:rPr>
                <w:rFonts w:asciiTheme="majorHAnsi" w:hAnsiTheme="majorHAnsi" w:cstheme="majorHAnsi"/>
                <w:b w:val="0"/>
                <w:color w:val="auto"/>
                <w:sz w:val="18"/>
                <w:szCs w:val="24"/>
              </w:rPr>
              <w:t>N2O</w:t>
            </w:r>
          </w:p>
        </w:tc>
        <w:tc>
          <w:tcPr>
            <w:tcW w:w="1834" w:type="pct"/>
            <w:shd w:val="clear" w:color="auto" w:fill="000000" w:themeFill="text1"/>
            <w:hideMark/>
          </w:tcPr>
          <w:p w14:paraId="3CDEB1E1" w14:textId="77777777" w:rsidR="00C03EC4" w:rsidRPr="002E75D4" w:rsidRDefault="00C03EC4" w:rsidP="000D6136">
            <w:pPr>
              <w:ind w:firstLineChars="100" w:firstLine="180"/>
              <w:rPr>
                <w:rFonts w:asciiTheme="majorHAnsi" w:hAnsiTheme="majorHAnsi" w:cstheme="majorHAnsi"/>
                <w:b w:val="0"/>
                <w:color w:val="auto"/>
                <w:sz w:val="18"/>
                <w:szCs w:val="24"/>
              </w:rPr>
            </w:pPr>
            <w:r w:rsidRPr="002E75D4">
              <w:rPr>
                <w:rFonts w:asciiTheme="majorHAnsi" w:hAnsiTheme="majorHAnsi" w:cstheme="majorHAnsi"/>
                <w:b w:val="0"/>
                <w:color w:val="auto"/>
                <w:sz w:val="18"/>
                <w:szCs w:val="24"/>
              </w:rPr>
              <w:t>Emission nette/an</w:t>
            </w:r>
          </w:p>
          <w:p w14:paraId="465AD8CF" w14:textId="77777777" w:rsidR="00C03EC4" w:rsidRPr="002E75D4" w:rsidRDefault="00C03EC4" w:rsidP="000D6136">
            <w:pPr>
              <w:rPr>
                <w:rFonts w:asciiTheme="majorHAnsi" w:hAnsiTheme="majorHAnsi" w:cstheme="majorHAnsi"/>
                <w:b w:val="0"/>
                <w:color w:val="auto"/>
                <w:sz w:val="18"/>
                <w:szCs w:val="24"/>
              </w:rPr>
            </w:pPr>
            <w:r w:rsidRPr="002E75D4">
              <w:rPr>
                <w:rFonts w:asciiTheme="majorHAnsi" w:hAnsiTheme="majorHAnsi" w:cstheme="majorHAnsi"/>
                <w:b w:val="0"/>
                <w:color w:val="auto"/>
                <w:sz w:val="18"/>
                <w:szCs w:val="24"/>
              </w:rPr>
              <w:t>(KT équivalent CO2)</w:t>
            </w:r>
          </w:p>
        </w:tc>
      </w:tr>
      <w:tr w:rsidR="00C03EC4" w:rsidRPr="002E75D4" w14:paraId="17A968AC" w14:textId="77777777" w:rsidTr="000D6136">
        <w:trPr>
          <w:cnfStyle w:val="000000100000" w:firstRow="0" w:lastRow="0" w:firstColumn="0" w:lastColumn="0" w:oddVBand="0" w:evenVBand="0" w:oddHBand="1" w:evenHBand="0" w:firstRowFirstColumn="0" w:firstRowLastColumn="0" w:lastRowFirstColumn="0" w:lastRowLastColumn="0"/>
          <w:trHeight w:val="265"/>
        </w:trPr>
        <w:tc>
          <w:tcPr>
            <w:tcW w:w="839" w:type="pct"/>
            <w:shd w:val="clear" w:color="auto" w:fill="FFF3F3"/>
            <w:hideMark/>
          </w:tcPr>
          <w:p w14:paraId="72BEB97E"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2015</w:t>
            </w:r>
          </w:p>
        </w:tc>
        <w:tc>
          <w:tcPr>
            <w:tcW w:w="706" w:type="pct"/>
            <w:shd w:val="clear" w:color="auto" w:fill="D9E2F3" w:themeFill="accent1" w:themeFillTint="33"/>
            <w:hideMark/>
          </w:tcPr>
          <w:p w14:paraId="19DF14E1"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37,51</w:t>
            </w:r>
          </w:p>
        </w:tc>
        <w:tc>
          <w:tcPr>
            <w:tcW w:w="810" w:type="pct"/>
            <w:shd w:val="clear" w:color="auto" w:fill="FFF2CC" w:themeFill="accent4" w:themeFillTint="33"/>
            <w:hideMark/>
          </w:tcPr>
          <w:p w14:paraId="1E30CA31"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217,14</w:t>
            </w:r>
          </w:p>
        </w:tc>
        <w:tc>
          <w:tcPr>
            <w:tcW w:w="810" w:type="pct"/>
            <w:shd w:val="clear" w:color="auto" w:fill="E2EFD9" w:themeFill="accent6" w:themeFillTint="33"/>
            <w:hideMark/>
          </w:tcPr>
          <w:p w14:paraId="50C97418"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101,68</w:t>
            </w:r>
          </w:p>
        </w:tc>
        <w:tc>
          <w:tcPr>
            <w:tcW w:w="1834" w:type="pct"/>
            <w:shd w:val="clear" w:color="auto" w:fill="F2F2F2" w:themeFill="background1" w:themeFillShade="F2"/>
            <w:hideMark/>
          </w:tcPr>
          <w:p w14:paraId="5B77A2B2"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356,33</w:t>
            </w:r>
          </w:p>
        </w:tc>
      </w:tr>
      <w:tr w:rsidR="00C03EC4" w:rsidRPr="002E75D4" w14:paraId="5EE77F91" w14:textId="77777777" w:rsidTr="000D6136">
        <w:trPr>
          <w:trHeight w:val="265"/>
        </w:trPr>
        <w:tc>
          <w:tcPr>
            <w:tcW w:w="839" w:type="pct"/>
            <w:shd w:val="clear" w:color="auto" w:fill="FFE1E1"/>
            <w:hideMark/>
          </w:tcPr>
          <w:p w14:paraId="59215870"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2017</w:t>
            </w:r>
          </w:p>
        </w:tc>
        <w:tc>
          <w:tcPr>
            <w:tcW w:w="706" w:type="pct"/>
            <w:shd w:val="clear" w:color="auto" w:fill="8EAADB" w:themeFill="accent1" w:themeFillTint="99"/>
            <w:hideMark/>
          </w:tcPr>
          <w:p w14:paraId="6F4AA53D"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31,16</w:t>
            </w:r>
          </w:p>
        </w:tc>
        <w:tc>
          <w:tcPr>
            <w:tcW w:w="810" w:type="pct"/>
            <w:shd w:val="clear" w:color="auto" w:fill="FFE599" w:themeFill="accent4" w:themeFillTint="66"/>
            <w:hideMark/>
          </w:tcPr>
          <w:p w14:paraId="1DB20C39"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229,95</w:t>
            </w:r>
          </w:p>
        </w:tc>
        <w:tc>
          <w:tcPr>
            <w:tcW w:w="810" w:type="pct"/>
            <w:shd w:val="clear" w:color="auto" w:fill="C5E0B3" w:themeFill="accent6" w:themeFillTint="66"/>
            <w:hideMark/>
          </w:tcPr>
          <w:p w14:paraId="528BB24F"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160,5</w:t>
            </w:r>
          </w:p>
        </w:tc>
        <w:tc>
          <w:tcPr>
            <w:tcW w:w="1834" w:type="pct"/>
            <w:shd w:val="clear" w:color="auto" w:fill="D9D9D9" w:themeFill="background1" w:themeFillShade="D9"/>
            <w:hideMark/>
          </w:tcPr>
          <w:p w14:paraId="5444651A"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421,61</w:t>
            </w:r>
          </w:p>
        </w:tc>
      </w:tr>
      <w:tr w:rsidR="00C03EC4" w:rsidRPr="002E75D4" w14:paraId="156ABF17" w14:textId="77777777" w:rsidTr="000D6136">
        <w:trPr>
          <w:cnfStyle w:val="000000100000" w:firstRow="0" w:lastRow="0" w:firstColumn="0" w:lastColumn="0" w:oddVBand="0" w:evenVBand="0" w:oddHBand="1" w:evenHBand="0" w:firstRowFirstColumn="0" w:firstRowLastColumn="0" w:lastRowFirstColumn="0" w:lastRowLastColumn="0"/>
          <w:trHeight w:val="265"/>
        </w:trPr>
        <w:tc>
          <w:tcPr>
            <w:tcW w:w="839" w:type="pct"/>
            <w:shd w:val="clear" w:color="auto" w:fill="FFF3F3"/>
            <w:hideMark/>
          </w:tcPr>
          <w:p w14:paraId="7215D7CE"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2019</w:t>
            </w:r>
          </w:p>
        </w:tc>
        <w:tc>
          <w:tcPr>
            <w:tcW w:w="706" w:type="pct"/>
            <w:shd w:val="clear" w:color="auto" w:fill="D9E2F3" w:themeFill="accent1" w:themeFillTint="33"/>
            <w:hideMark/>
          </w:tcPr>
          <w:p w14:paraId="4B04FCE3"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32,44</w:t>
            </w:r>
          </w:p>
        </w:tc>
        <w:tc>
          <w:tcPr>
            <w:tcW w:w="810" w:type="pct"/>
            <w:shd w:val="clear" w:color="auto" w:fill="FFF2CC" w:themeFill="accent4" w:themeFillTint="33"/>
            <w:hideMark/>
          </w:tcPr>
          <w:p w14:paraId="19665E78"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243,18</w:t>
            </w:r>
          </w:p>
        </w:tc>
        <w:tc>
          <w:tcPr>
            <w:tcW w:w="810" w:type="pct"/>
            <w:shd w:val="clear" w:color="auto" w:fill="E2EFD9" w:themeFill="accent6" w:themeFillTint="33"/>
            <w:hideMark/>
          </w:tcPr>
          <w:p w14:paraId="0742D872"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160,5</w:t>
            </w:r>
          </w:p>
        </w:tc>
        <w:tc>
          <w:tcPr>
            <w:tcW w:w="1834" w:type="pct"/>
            <w:shd w:val="clear" w:color="auto" w:fill="F2F2F2" w:themeFill="background1" w:themeFillShade="F2"/>
            <w:hideMark/>
          </w:tcPr>
          <w:p w14:paraId="2A763F65" w14:textId="77777777" w:rsidR="00C03EC4" w:rsidRPr="002E75D4" w:rsidRDefault="00C03EC4" w:rsidP="000D6136">
            <w:pPr>
              <w:rPr>
                <w:rFonts w:asciiTheme="majorHAnsi" w:hAnsiTheme="majorHAnsi" w:cstheme="majorHAnsi"/>
                <w:sz w:val="18"/>
                <w:szCs w:val="24"/>
              </w:rPr>
            </w:pPr>
            <w:r w:rsidRPr="002E75D4">
              <w:rPr>
                <w:rFonts w:asciiTheme="majorHAnsi" w:hAnsiTheme="majorHAnsi" w:cstheme="majorHAnsi"/>
                <w:sz w:val="18"/>
                <w:szCs w:val="24"/>
              </w:rPr>
              <w:t>436,12</w:t>
            </w:r>
          </w:p>
        </w:tc>
      </w:tr>
    </w:tbl>
    <w:p w14:paraId="3B318E14" w14:textId="77777777" w:rsidR="00C03EC4" w:rsidRPr="002E75D4" w:rsidRDefault="00C03EC4" w:rsidP="00C03EC4">
      <w:pPr>
        <w:autoSpaceDE w:val="0"/>
        <w:autoSpaceDN w:val="0"/>
        <w:adjustRightInd w:val="0"/>
        <w:ind w:left="213"/>
        <w:jc w:val="both"/>
        <w:rPr>
          <w:rFonts w:asciiTheme="majorHAnsi" w:hAnsiTheme="majorHAnsi" w:cstheme="majorHAnsi"/>
          <w:szCs w:val="24"/>
        </w:rPr>
      </w:pPr>
    </w:p>
    <w:p w14:paraId="77245BFF"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diagramme ci-après donne la répartition des émissions par types de gaz. Les émissions sont dominées par le méthane (CH4) à 56%, suivi du dioxyde d’azote (NO2) pour 37% et le gaz carbonique (CO2) pour 7%.</w:t>
      </w:r>
    </w:p>
    <w:p w14:paraId="48EA3175"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inline distT="0" distB="0" distL="0" distR="0" wp14:anchorId="6E64B69B" wp14:editId="28BE3A8B">
            <wp:extent cx="6096000" cy="2030569"/>
            <wp:effectExtent l="0" t="0" r="19050" b="2730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783E07" w14:textId="77777777" w:rsidR="00C03EC4" w:rsidRPr="002E75D4" w:rsidRDefault="00C03EC4" w:rsidP="00C03EC4">
      <w:pPr>
        <w:pStyle w:val="Lgende"/>
        <w:rPr>
          <w:rFonts w:asciiTheme="majorHAnsi" w:hAnsiTheme="majorHAnsi" w:cstheme="majorHAnsi"/>
          <w:b w:val="0"/>
          <w:bCs w:val="0"/>
        </w:rPr>
      </w:pPr>
      <w:r w:rsidRPr="002E75D4">
        <w:rPr>
          <w:rFonts w:asciiTheme="majorHAnsi" w:hAnsiTheme="majorHAnsi" w:cstheme="majorHAnsi"/>
          <w:b w:val="0"/>
          <w:bCs w:val="0"/>
          <w:szCs w:val="22"/>
        </w:rPr>
        <w:t xml:space="preserve">                                                      </w:t>
      </w:r>
      <w:r w:rsidRPr="00B13E5A">
        <w:rPr>
          <w:rFonts w:asciiTheme="majorHAnsi" w:hAnsiTheme="majorHAnsi" w:cstheme="majorHAnsi"/>
          <w:bCs w:val="0"/>
          <w:u w:val="single"/>
        </w:rPr>
        <w:t>Figure 10</w:t>
      </w:r>
      <w:r w:rsidRPr="002E75D4">
        <w:rPr>
          <w:rFonts w:asciiTheme="majorHAnsi" w:hAnsiTheme="majorHAnsi" w:cstheme="majorHAnsi"/>
          <w:b w:val="0"/>
          <w:bCs w:val="0"/>
        </w:rPr>
        <w:t xml:space="preserve"> : Proportion des émissions par types de gaz</w:t>
      </w:r>
    </w:p>
    <w:p w14:paraId="2EF07B4B" w14:textId="77777777" w:rsidR="00C03EC4" w:rsidRPr="002E75D4" w:rsidRDefault="00C03EC4" w:rsidP="00C03EC4"/>
    <w:p w14:paraId="5AB6C389" w14:textId="77777777" w:rsidR="00C03EC4" w:rsidRDefault="00C03EC4" w:rsidP="00C03EC4">
      <w:pPr>
        <w:pStyle w:val="Lgende"/>
        <w:rPr>
          <w:rFonts w:asciiTheme="majorHAnsi" w:hAnsiTheme="majorHAnsi" w:cstheme="majorHAnsi"/>
          <w:b w:val="0"/>
          <w:bCs w:val="0"/>
        </w:rPr>
      </w:pPr>
    </w:p>
    <w:p w14:paraId="30785010" w14:textId="77777777" w:rsidR="00C03EC4" w:rsidRPr="00896D42" w:rsidRDefault="00C03EC4" w:rsidP="00C03EC4"/>
    <w:p w14:paraId="12A441DE" w14:textId="77777777" w:rsidR="00C03EC4" w:rsidRPr="00A021BD" w:rsidRDefault="00C03EC4" w:rsidP="00C03EC4">
      <w:pPr>
        <w:pStyle w:val="Lgende"/>
        <w:rPr>
          <w:rFonts w:asciiTheme="majorHAnsi" w:eastAsia="Calibri" w:hAnsiTheme="majorHAnsi" w:cstheme="majorHAnsi"/>
          <w:sz w:val="34"/>
          <w:szCs w:val="34"/>
        </w:rPr>
      </w:pPr>
      <w:r w:rsidRPr="00A021BD">
        <w:rPr>
          <w:rFonts w:asciiTheme="majorHAnsi" w:eastAsia="Calibri" w:hAnsiTheme="majorHAnsi" w:cstheme="majorHAnsi"/>
          <w:sz w:val="34"/>
          <w:szCs w:val="34"/>
        </w:rPr>
        <w:t>3.2. PREVISIONS DES EMISSIONS DE GES POUR LA PERIODE 2020-2030</w:t>
      </w:r>
    </w:p>
    <w:p w14:paraId="427FA323" w14:textId="77777777" w:rsidR="00C03EC4" w:rsidRPr="002E75D4" w:rsidRDefault="00C03EC4" w:rsidP="00C03EC4">
      <w:pPr>
        <w:spacing w:after="0"/>
        <w:jc w:val="both"/>
        <w:rPr>
          <w:rFonts w:asciiTheme="majorHAnsi" w:eastAsia="Calibri" w:hAnsiTheme="majorHAnsi" w:cstheme="majorHAnsi"/>
          <w:b/>
          <w:sz w:val="24"/>
          <w:szCs w:val="24"/>
        </w:rPr>
      </w:pPr>
    </w:p>
    <w:p w14:paraId="35A2461D" w14:textId="77777777" w:rsidR="00C03EC4" w:rsidRPr="002E75D4" w:rsidRDefault="00C03EC4" w:rsidP="00C03EC4">
      <w:pPr>
        <w:spacing w:after="0"/>
        <w:jc w:val="both"/>
        <w:rPr>
          <w:rFonts w:asciiTheme="majorHAnsi" w:eastAsia="Calibri" w:hAnsiTheme="majorHAnsi" w:cstheme="majorHAnsi"/>
          <w:b/>
          <w:sz w:val="30"/>
          <w:szCs w:val="30"/>
        </w:rPr>
      </w:pPr>
      <w:r w:rsidRPr="002E75D4">
        <w:rPr>
          <w:rFonts w:asciiTheme="majorHAnsi" w:eastAsia="Calibri" w:hAnsiTheme="majorHAnsi" w:cstheme="majorHAnsi"/>
          <w:b/>
          <w:sz w:val="30"/>
          <w:szCs w:val="30"/>
        </w:rPr>
        <w:t>3.2.1 Émissions de GES dans le secteur de l’Énergie pour la période 2020-2030</w:t>
      </w:r>
    </w:p>
    <w:p w14:paraId="2D689C8E" w14:textId="77777777" w:rsidR="00C03EC4" w:rsidRPr="002E75D4" w:rsidRDefault="00C03EC4" w:rsidP="00C03EC4">
      <w:pPr>
        <w:spacing w:after="0"/>
        <w:jc w:val="both"/>
        <w:rPr>
          <w:rFonts w:asciiTheme="majorHAnsi" w:eastAsia="Calibri" w:hAnsiTheme="majorHAnsi" w:cstheme="majorHAnsi"/>
          <w:sz w:val="24"/>
          <w:szCs w:val="24"/>
        </w:rPr>
      </w:pPr>
    </w:p>
    <w:p w14:paraId="214ABB25" w14:textId="77777777" w:rsidR="00C03EC4" w:rsidRPr="002E75D4" w:rsidRDefault="00C03EC4" w:rsidP="00C03EC4">
      <w:pPr>
        <w:pStyle w:val="Paragraphedeliste"/>
        <w:widowControl w:val="0"/>
        <w:autoSpaceDE w:val="0"/>
        <w:autoSpaceDN w:val="0"/>
        <w:adjustRightInd w:val="0"/>
        <w:spacing w:after="0"/>
        <w:ind w:left="0"/>
        <w:mirrorIndents/>
        <w:jc w:val="both"/>
        <w:rPr>
          <w:rFonts w:asciiTheme="majorHAnsi" w:hAnsiTheme="majorHAnsi" w:cstheme="majorHAnsi"/>
          <w:sz w:val="24"/>
          <w:szCs w:val="24"/>
        </w:rPr>
      </w:pPr>
      <w:r w:rsidRPr="002E75D4">
        <w:rPr>
          <w:rFonts w:asciiTheme="majorHAnsi" w:hAnsiTheme="majorHAnsi" w:cstheme="majorHAnsi"/>
          <w:sz w:val="24"/>
          <w:szCs w:val="24"/>
        </w:rPr>
        <w:t>La faible performance du bilan énergétique et les potentialités significatives énergétiques du Mali ont motivé l’élaboration et la mise en œuvre à court et moyen termes de politiques, de programmes et de plans aboutissant à la réalisation de projets de centrales électriques de sources renouvelables, de projets d’efficacité énergétique associant l’utilisation rationnelle de l’énergie, l’économie d’énergie et la maîtrise de l’énergie. Ces actions concernent tous les aspects du secteur de l’Énergie, de la production à la consommation.</w:t>
      </w:r>
    </w:p>
    <w:p w14:paraId="4AFA3FD3" w14:textId="77777777" w:rsidR="00C03EC4" w:rsidRPr="002E75D4" w:rsidRDefault="00C03EC4" w:rsidP="00C03EC4">
      <w:pPr>
        <w:pStyle w:val="Paragraphedeliste"/>
        <w:widowControl w:val="0"/>
        <w:autoSpaceDE w:val="0"/>
        <w:autoSpaceDN w:val="0"/>
        <w:adjustRightInd w:val="0"/>
        <w:spacing w:after="0"/>
        <w:ind w:left="0"/>
        <w:mirrorIndents/>
        <w:jc w:val="both"/>
        <w:rPr>
          <w:rFonts w:asciiTheme="majorHAnsi" w:hAnsiTheme="majorHAnsi" w:cstheme="majorHAnsi"/>
          <w:sz w:val="24"/>
          <w:szCs w:val="24"/>
        </w:rPr>
      </w:pPr>
    </w:p>
    <w:p w14:paraId="7D6F6321" w14:textId="77777777" w:rsidR="00C03EC4" w:rsidRPr="002E75D4" w:rsidRDefault="00C03EC4" w:rsidP="00C03EC4">
      <w:pPr>
        <w:pStyle w:val="Paragraphedeliste"/>
        <w:widowControl w:val="0"/>
        <w:autoSpaceDE w:val="0"/>
        <w:autoSpaceDN w:val="0"/>
        <w:adjustRightInd w:val="0"/>
        <w:spacing w:before="120" w:after="120"/>
        <w:ind w:left="0"/>
        <w:mirrorIndents/>
        <w:jc w:val="both"/>
        <w:rPr>
          <w:rFonts w:asciiTheme="majorHAnsi" w:hAnsiTheme="majorHAnsi" w:cstheme="majorHAnsi"/>
          <w:sz w:val="24"/>
          <w:szCs w:val="24"/>
        </w:rPr>
      </w:pPr>
      <w:r w:rsidRPr="002E75D4">
        <w:rPr>
          <w:rFonts w:asciiTheme="majorHAnsi" w:hAnsiTheme="majorHAnsi" w:cstheme="majorHAnsi"/>
          <w:sz w:val="24"/>
          <w:szCs w:val="24"/>
        </w:rPr>
        <w:t>Les scénarios d’atténuation de GES dans le secteur de l’Énergie ont été développés sur la base de la Politique nationale de l’énergie et des stratégies afférentes ainsi que des actions qui en découlent.</w:t>
      </w:r>
    </w:p>
    <w:p w14:paraId="353AF541" w14:textId="77777777" w:rsidR="00C03EC4" w:rsidRPr="002E75D4" w:rsidRDefault="00C03EC4" w:rsidP="00C03EC4">
      <w:pPr>
        <w:pStyle w:val="Paragraphedeliste"/>
        <w:widowControl w:val="0"/>
        <w:autoSpaceDE w:val="0"/>
        <w:autoSpaceDN w:val="0"/>
        <w:adjustRightInd w:val="0"/>
        <w:spacing w:before="120" w:after="120"/>
        <w:ind w:left="0"/>
        <w:mirrorIndents/>
        <w:jc w:val="both"/>
        <w:rPr>
          <w:rFonts w:asciiTheme="majorHAnsi" w:hAnsiTheme="majorHAnsi" w:cstheme="majorHAnsi"/>
          <w:sz w:val="24"/>
          <w:szCs w:val="24"/>
        </w:rPr>
      </w:pPr>
    </w:p>
    <w:p w14:paraId="31DF99A7" w14:textId="77777777" w:rsidR="00C03EC4" w:rsidRPr="00A021BD" w:rsidRDefault="00C03EC4" w:rsidP="00C03EC4">
      <w:pPr>
        <w:pStyle w:val="Paragraphedeliste"/>
        <w:widowControl w:val="0"/>
        <w:shd w:val="clear" w:color="auto" w:fill="FFFFFF" w:themeFill="background1"/>
        <w:autoSpaceDE w:val="0"/>
        <w:autoSpaceDN w:val="0"/>
        <w:adjustRightInd w:val="0"/>
        <w:spacing w:before="120" w:after="120"/>
        <w:ind w:left="0"/>
        <w:mirrorIndents/>
        <w:jc w:val="both"/>
        <w:rPr>
          <w:rFonts w:asciiTheme="majorHAnsi" w:hAnsiTheme="majorHAnsi" w:cstheme="majorHAnsi"/>
          <w:sz w:val="24"/>
          <w:szCs w:val="24"/>
        </w:rPr>
      </w:pPr>
      <w:r w:rsidRPr="00A021BD">
        <w:rPr>
          <w:rFonts w:asciiTheme="majorHAnsi" w:hAnsiTheme="majorHAnsi" w:cstheme="majorHAnsi"/>
          <w:sz w:val="24"/>
          <w:szCs w:val="24"/>
        </w:rPr>
        <w:t>Les principales actions concernées sont :</w:t>
      </w:r>
    </w:p>
    <w:p w14:paraId="6A1669BE" w14:textId="77777777" w:rsidR="00C03EC4" w:rsidRPr="002E75D4" w:rsidRDefault="00C03EC4" w:rsidP="00C03EC4">
      <w:pPr>
        <w:pStyle w:val="Paragraphedeliste"/>
        <w:widowControl w:val="0"/>
        <w:numPr>
          <w:ilvl w:val="0"/>
          <w:numId w:val="32"/>
        </w:numPr>
        <w:autoSpaceDE w:val="0"/>
        <w:autoSpaceDN w:val="0"/>
        <w:adjustRightInd w:val="0"/>
        <w:spacing w:before="120" w:after="120"/>
        <w:mirrorIndents/>
        <w:jc w:val="both"/>
        <w:rPr>
          <w:rFonts w:asciiTheme="majorHAnsi" w:hAnsiTheme="majorHAnsi" w:cstheme="majorHAnsi"/>
          <w:sz w:val="24"/>
          <w:szCs w:val="24"/>
        </w:rPr>
      </w:pPr>
      <w:r w:rsidRPr="002E75D4">
        <w:rPr>
          <w:rFonts w:asciiTheme="majorHAnsi" w:hAnsiTheme="majorHAnsi" w:cstheme="majorHAnsi"/>
          <w:sz w:val="24"/>
          <w:szCs w:val="24"/>
        </w:rPr>
        <w:t>le Plan directeur d'investissements optimaux pour le secteur de l'électricité au Mali ;</w:t>
      </w:r>
    </w:p>
    <w:p w14:paraId="78E38233" w14:textId="77777777" w:rsidR="00C03EC4" w:rsidRPr="002E75D4" w:rsidRDefault="00C03EC4" w:rsidP="00C03EC4">
      <w:pPr>
        <w:pStyle w:val="Paragraphedeliste"/>
        <w:widowControl w:val="0"/>
        <w:numPr>
          <w:ilvl w:val="0"/>
          <w:numId w:val="32"/>
        </w:numPr>
        <w:autoSpaceDE w:val="0"/>
        <w:autoSpaceDN w:val="0"/>
        <w:adjustRightInd w:val="0"/>
        <w:spacing w:before="120" w:after="120"/>
        <w:mirrorIndents/>
        <w:jc w:val="both"/>
        <w:rPr>
          <w:rFonts w:asciiTheme="majorHAnsi" w:hAnsiTheme="majorHAnsi" w:cstheme="majorHAnsi"/>
          <w:sz w:val="24"/>
          <w:szCs w:val="24"/>
        </w:rPr>
      </w:pPr>
      <w:r w:rsidRPr="002E75D4">
        <w:rPr>
          <w:rFonts w:asciiTheme="majorHAnsi" w:hAnsiTheme="majorHAnsi" w:cstheme="majorHAnsi"/>
          <w:sz w:val="24"/>
          <w:szCs w:val="24"/>
          <w:lang w:bidi="fr-FR"/>
        </w:rPr>
        <w:t>les plans d’actions nationaux de l’énergie renouvelable (PANER), de l’efficacité énergétique (PANEE) et le programme d’action national SE4ALL ;</w:t>
      </w:r>
    </w:p>
    <w:p w14:paraId="4B06D91C" w14:textId="77777777" w:rsidR="00C03EC4" w:rsidRPr="002E75D4" w:rsidRDefault="00C03EC4" w:rsidP="00C03EC4">
      <w:pPr>
        <w:pStyle w:val="Paragraphedeliste"/>
        <w:widowControl w:val="0"/>
        <w:numPr>
          <w:ilvl w:val="0"/>
          <w:numId w:val="32"/>
        </w:numPr>
        <w:autoSpaceDE w:val="0"/>
        <w:autoSpaceDN w:val="0"/>
        <w:adjustRightInd w:val="0"/>
        <w:spacing w:before="120" w:after="120"/>
        <w:mirrorIndents/>
        <w:jc w:val="both"/>
        <w:rPr>
          <w:rFonts w:asciiTheme="majorHAnsi" w:hAnsiTheme="majorHAnsi" w:cstheme="majorHAnsi"/>
          <w:sz w:val="24"/>
          <w:szCs w:val="24"/>
        </w:rPr>
      </w:pPr>
      <w:r w:rsidRPr="002E75D4">
        <w:rPr>
          <w:rFonts w:asciiTheme="majorHAnsi" w:hAnsiTheme="majorHAnsi" w:cstheme="majorHAnsi"/>
          <w:sz w:val="24"/>
          <w:szCs w:val="24"/>
        </w:rPr>
        <w:t>le programme de valorisation à grande échelle des énergies renouvelables (SREP) pour 258 millions de $US ;</w:t>
      </w:r>
      <w:bookmarkStart w:id="6" w:name="_Hlk74826375"/>
    </w:p>
    <w:p w14:paraId="60C3E74E" w14:textId="77777777" w:rsidR="00C03EC4" w:rsidRPr="00A021BD" w:rsidRDefault="00C03EC4" w:rsidP="00C03EC4">
      <w:pPr>
        <w:pStyle w:val="Paragraphedeliste"/>
        <w:widowControl w:val="0"/>
        <w:numPr>
          <w:ilvl w:val="0"/>
          <w:numId w:val="32"/>
        </w:numPr>
        <w:autoSpaceDE w:val="0"/>
        <w:autoSpaceDN w:val="0"/>
        <w:adjustRightInd w:val="0"/>
        <w:spacing w:before="120" w:after="120"/>
        <w:mirrorIndents/>
        <w:jc w:val="both"/>
        <w:rPr>
          <w:rFonts w:asciiTheme="majorHAnsi" w:hAnsiTheme="majorHAnsi" w:cstheme="majorHAnsi"/>
          <w:sz w:val="24"/>
          <w:szCs w:val="24"/>
        </w:rPr>
      </w:pPr>
      <w:r w:rsidRPr="002E75D4">
        <w:rPr>
          <w:rFonts w:asciiTheme="majorHAnsi" w:hAnsiTheme="majorHAnsi" w:cstheme="majorHAnsi"/>
          <w:sz w:val="24"/>
          <w:szCs w:val="24"/>
          <w:lang w:bidi="fr-FR"/>
        </w:rPr>
        <w:t xml:space="preserve">l’initiative Desert-to-Power (DtP), permettra dans sa zone d’intervention (11 pays dont le Mali) d’augmenter la capacité de production d'énergie solaire connectée au réseau d’environ 10 GW, de renforcer et d’étendre les réseaux nationaux et régionaux, de déployer des solutions énergétiques décentralisées, d’améliorer la capacité financière et opérationnelle des opérateurs publics d’électricité et enfin de renforcer l'environnement propice à l'accroissement de l'investissement privé. </w:t>
      </w:r>
    </w:p>
    <w:p w14:paraId="568D76E6" w14:textId="77777777" w:rsidR="00C03EC4" w:rsidRPr="00A021BD" w:rsidRDefault="00C03EC4" w:rsidP="00C03EC4">
      <w:pPr>
        <w:widowControl w:val="0"/>
        <w:autoSpaceDE w:val="0"/>
        <w:autoSpaceDN w:val="0"/>
        <w:adjustRightInd w:val="0"/>
        <w:spacing w:before="60" w:after="0"/>
        <w:jc w:val="both"/>
        <w:rPr>
          <w:rFonts w:asciiTheme="majorHAnsi" w:hAnsiTheme="majorHAnsi" w:cstheme="majorHAnsi"/>
        </w:rPr>
      </w:pPr>
      <w:r w:rsidRPr="00A021BD">
        <w:rPr>
          <w:rFonts w:asciiTheme="majorHAnsi" w:hAnsiTheme="majorHAnsi" w:cstheme="majorHAnsi"/>
          <w:sz w:val="24"/>
          <w:szCs w:val="24"/>
        </w:rPr>
        <w:t>Les différentes initiatives envisagées devront veiller à :</w:t>
      </w:r>
    </w:p>
    <w:p w14:paraId="0C172E0C" w14:textId="77777777" w:rsidR="00C03EC4" w:rsidRPr="002E75D4" w:rsidRDefault="00C03EC4" w:rsidP="00C03EC4">
      <w:pPr>
        <w:pStyle w:val="Paragraphedeliste"/>
        <w:numPr>
          <w:ilvl w:val="0"/>
          <w:numId w:val="33"/>
        </w:numPr>
        <w:suppressAutoHyphens/>
        <w:autoSpaceDE w:val="0"/>
        <w:autoSpaceDN w:val="0"/>
        <w:adjustRightInd w:val="0"/>
        <w:spacing w:line="240" w:lineRule="auto"/>
        <w:jc w:val="both"/>
        <w:textAlignment w:val="baseline"/>
        <w:rPr>
          <w:rFonts w:asciiTheme="majorHAnsi" w:hAnsiTheme="majorHAnsi" w:cstheme="majorHAnsi"/>
          <w:sz w:val="24"/>
          <w:szCs w:val="24"/>
        </w:rPr>
      </w:pPr>
      <w:r w:rsidRPr="002E75D4">
        <w:rPr>
          <w:rFonts w:asciiTheme="majorHAnsi" w:hAnsiTheme="majorHAnsi" w:cstheme="majorHAnsi"/>
          <w:sz w:val="24"/>
          <w:szCs w:val="24"/>
        </w:rPr>
        <w:t>améliorer l’accès des femmes aux services, technologies énergétiques et équipements  modernes; moins couteux et moins consommateurs d’énergie ;</w:t>
      </w:r>
    </w:p>
    <w:p w14:paraId="704E49B0" w14:textId="77777777" w:rsidR="00C03EC4" w:rsidRPr="002E75D4" w:rsidRDefault="00C03EC4" w:rsidP="00C03EC4">
      <w:pPr>
        <w:pStyle w:val="Paragraphedeliste"/>
        <w:suppressAutoHyphens/>
        <w:autoSpaceDE w:val="0"/>
        <w:autoSpaceDN w:val="0"/>
        <w:adjustRightInd w:val="0"/>
        <w:spacing w:line="240" w:lineRule="auto"/>
        <w:jc w:val="both"/>
        <w:textAlignment w:val="baseline"/>
        <w:rPr>
          <w:rFonts w:asciiTheme="majorHAnsi" w:hAnsiTheme="majorHAnsi" w:cstheme="majorHAnsi"/>
          <w:sz w:val="24"/>
          <w:szCs w:val="24"/>
        </w:rPr>
      </w:pPr>
    </w:p>
    <w:p w14:paraId="066DE226" w14:textId="77777777" w:rsidR="00C03EC4" w:rsidRPr="002E75D4" w:rsidRDefault="00C03EC4" w:rsidP="00C03EC4">
      <w:pPr>
        <w:pStyle w:val="Paragraphedeliste"/>
        <w:numPr>
          <w:ilvl w:val="0"/>
          <w:numId w:val="33"/>
        </w:numPr>
        <w:suppressAutoHyphens/>
        <w:autoSpaceDE w:val="0"/>
        <w:autoSpaceDN w:val="0"/>
        <w:adjustRightInd w:val="0"/>
        <w:spacing w:line="240" w:lineRule="auto"/>
        <w:jc w:val="both"/>
        <w:textAlignment w:val="baseline"/>
        <w:rPr>
          <w:rFonts w:asciiTheme="majorHAnsi" w:hAnsiTheme="majorHAnsi" w:cstheme="majorHAnsi"/>
          <w:sz w:val="24"/>
          <w:szCs w:val="24"/>
        </w:rPr>
      </w:pPr>
      <w:r w:rsidRPr="002E75D4">
        <w:rPr>
          <w:rFonts w:asciiTheme="majorHAnsi" w:hAnsiTheme="majorHAnsi" w:cstheme="majorHAnsi"/>
          <w:sz w:val="24"/>
          <w:szCs w:val="24"/>
        </w:rPr>
        <w:t xml:space="preserve">créer des opportunités d’emplois  pour les femmes dans les domaines traditionnellement réservés  à l’homme telles que la gestion des infrastructures énergétiques et les technologies de transformation innovantes ; </w:t>
      </w:r>
    </w:p>
    <w:p w14:paraId="40896D00" w14:textId="77777777" w:rsidR="00C03EC4" w:rsidRPr="00A021BD" w:rsidRDefault="00C03EC4" w:rsidP="00C03EC4">
      <w:pPr>
        <w:pStyle w:val="Paragraphedeliste"/>
        <w:numPr>
          <w:ilvl w:val="0"/>
          <w:numId w:val="33"/>
        </w:numPr>
        <w:suppressAutoHyphens/>
        <w:autoSpaceDE w:val="0"/>
        <w:autoSpaceDN w:val="0"/>
        <w:adjustRightInd w:val="0"/>
        <w:spacing w:line="240" w:lineRule="auto"/>
        <w:jc w:val="both"/>
        <w:textAlignment w:val="baseline"/>
        <w:rPr>
          <w:rStyle w:val="Accentuation"/>
          <w:rFonts w:asciiTheme="majorHAnsi" w:hAnsiTheme="majorHAnsi" w:cstheme="majorHAnsi"/>
          <w:b w:val="0"/>
          <w:bCs w:val="0"/>
          <w:i w:val="0"/>
          <w:iCs w:val="0"/>
          <w:spacing w:val="0"/>
          <w:sz w:val="24"/>
          <w:szCs w:val="24"/>
        </w:rPr>
      </w:pPr>
      <w:r w:rsidRPr="002E75D4">
        <w:rPr>
          <w:rFonts w:asciiTheme="majorHAnsi" w:hAnsiTheme="majorHAnsi" w:cstheme="majorHAnsi"/>
          <w:sz w:val="24"/>
          <w:szCs w:val="24"/>
        </w:rPr>
        <w:t xml:space="preserve">promouvoir des sources d’énergies renouvelables et des combustibles de substitution au bois-énergie (gaz butane, pétrole lampant, briquettes de charbon et de résidus végétaux). </w:t>
      </w:r>
      <w:bookmarkEnd w:id="6"/>
    </w:p>
    <w:p w14:paraId="73275E61" w14:textId="77777777" w:rsidR="00C03EC4" w:rsidRDefault="00C03EC4" w:rsidP="00C03EC4">
      <w:pPr>
        <w:jc w:val="both"/>
        <w:rPr>
          <w:rStyle w:val="Accentuation"/>
          <w:rFonts w:asciiTheme="majorHAnsi" w:hAnsiTheme="majorHAnsi" w:cstheme="majorHAnsi"/>
          <w:i w:val="0"/>
          <w:iCs w:val="0"/>
          <w:sz w:val="24"/>
          <w:szCs w:val="24"/>
        </w:rPr>
      </w:pPr>
    </w:p>
    <w:p w14:paraId="485CB715" w14:textId="77777777" w:rsidR="00C03EC4" w:rsidRDefault="00C03EC4" w:rsidP="00C03EC4">
      <w:pPr>
        <w:jc w:val="both"/>
        <w:rPr>
          <w:rStyle w:val="Accentuation"/>
          <w:sz w:val="24"/>
          <w:szCs w:val="24"/>
        </w:rPr>
      </w:pPr>
    </w:p>
    <w:p w14:paraId="27E8869C" w14:textId="77777777" w:rsidR="00C03EC4" w:rsidRDefault="00C03EC4" w:rsidP="00C03EC4">
      <w:pPr>
        <w:jc w:val="both"/>
        <w:rPr>
          <w:rStyle w:val="Accentuation"/>
          <w:sz w:val="24"/>
          <w:szCs w:val="24"/>
        </w:rPr>
      </w:pPr>
    </w:p>
    <w:p w14:paraId="1E80CA51" w14:textId="77777777" w:rsidR="00C03EC4" w:rsidRDefault="00C03EC4" w:rsidP="00C03EC4">
      <w:pPr>
        <w:jc w:val="both"/>
        <w:rPr>
          <w:rStyle w:val="Accentuation"/>
          <w:sz w:val="24"/>
          <w:szCs w:val="24"/>
        </w:rPr>
      </w:pPr>
    </w:p>
    <w:p w14:paraId="4DDE4F61" w14:textId="77777777" w:rsidR="00C03EC4" w:rsidRPr="002E75D4" w:rsidRDefault="00C03EC4" w:rsidP="00C03EC4">
      <w:pPr>
        <w:jc w:val="both"/>
        <w:rPr>
          <w:rStyle w:val="Accentuation"/>
          <w:rFonts w:asciiTheme="majorHAnsi" w:hAnsiTheme="majorHAnsi" w:cstheme="majorHAnsi"/>
          <w:b w:val="0"/>
          <w:bCs w:val="0"/>
          <w:i w:val="0"/>
          <w:iCs w:val="0"/>
          <w:sz w:val="24"/>
          <w:szCs w:val="24"/>
        </w:rPr>
      </w:pPr>
      <w:r w:rsidRPr="007C42D7">
        <w:rPr>
          <w:rStyle w:val="Accentuation"/>
          <w:rFonts w:asciiTheme="majorHAnsi" w:hAnsiTheme="majorHAnsi" w:cstheme="majorHAnsi"/>
          <w:i w:val="0"/>
          <w:iCs w:val="0"/>
          <w:sz w:val="24"/>
          <w:szCs w:val="24"/>
          <w:u w:val="single"/>
        </w:rPr>
        <w:t>Tableau 10</w:t>
      </w:r>
      <w:r w:rsidRPr="002E75D4">
        <w:rPr>
          <w:rStyle w:val="Accentuation"/>
          <w:rFonts w:asciiTheme="majorHAnsi" w:hAnsiTheme="majorHAnsi" w:cstheme="majorHAnsi"/>
          <w:i w:val="0"/>
          <w:iCs w:val="0"/>
          <w:sz w:val="24"/>
          <w:szCs w:val="24"/>
        </w:rPr>
        <w:t> :</w:t>
      </w:r>
      <w:r w:rsidRPr="002E75D4">
        <w:rPr>
          <w:rStyle w:val="Accentuation"/>
          <w:rFonts w:asciiTheme="majorHAnsi" w:hAnsiTheme="majorHAnsi" w:cstheme="majorHAnsi"/>
          <w:b w:val="0"/>
          <w:bCs w:val="0"/>
          <w:i w:val="0"/>
          <w:iCs w:val="0"/>
          <w:sz w:val="24"/>
          <w:szCs w:val="24"/>
        </w:rPr>
        <w:t xml:space="preserve"> Programmes et projets dans le secteur de l’énergie dont la réalisation est   prévue dans la période 2020-2030</w:t>
      </w:r>
    </w:p>
    <w:tbl>
      <w:tblPr>
        <w:tblStyle w:val="Grillemoyenne3-Accent1"/>
        <w:tblW w:w="5000" w:type="pct"/>
        <w:tblLook w:val="0420" w:firstRow="1" w:lastRow="0" w:firstColumn="0" w:lastColumn="0" w:noHBand="0" w:noVBand="1"/>
      </w:tblPr>
      <w:tblGrid>
        <w:gridCol w:w="1528"/>
        <w:gridCol w:w="4529"/>
        <w:gridCol w:w="1123"/>
        <w:gridCol w:w="1185"/>
        <w:gridCol w:w="1254"/>
      </w:tblGrid>
      <w:tr w:rsidR="00C03EC4" w:rsidRPr="002E75D4" w14:paraId="3998C649" w14:textId="77777777" w:rsidTr="000D6136">
        <w:trPr>
          <w:cnfStyle w:val="100000000000" w:firstRow="1" w:lastRow="0" w:firstColumn="0" w:lastColumn="0" w:oddVBand="0" w:evenVBand="0" w:oddHBand="0" w:evenHBand="0" w:firstRowFirstColumn="0" w:firstRowLastColumn="0" w:lastRowFirstColumn="0" w:lastRowLastColumn="0"/>
        </w:trPr>
        <w:tc>
          <w:tcPr>
            <w:tcW w:w="794" w:type="pct"/>
            <w:shd w:val="clear" w:color="auto" w:fill="C00000"/>
          </w:tcPr>
          <w:p w14:paraId="649820CA"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bCs/>
                <w:i w:val="0"/>
                <w:iCs w:val="0"/>
                <w:color w:val="auto"/>
                <w:szCs w:val="24"/>
              </w:rPr>
            </w:pPr>
            <w:r w:rsidRPr="002E75D4">
              <w:rPr>
                <w:rStyle w:val="Accentuation"/>
                <w:rFonts w:asciiTheme="majorHAnsi" w:hAnsiTheme="majorHAnsi" w:cstheme="majorHAnsi"/>
                <w:b/>
                <w:bCs/>
                <w:i w:val="0"/>
                <w:iCs w:val="0"/>
                <w:color w:val="auto"/>
                <w:szCs w:val="24"/>
              </w:rPr>
              <w:t>Origine</w:t>
            </w:r>
          </w:p>
        </w:tc>
        <w:tc>
          <w:tcPr>
            <w:tcW w:w="2354" w:type="pct"/>
            <w:shd w:val="clear" w:color="auto" w:fill="002060"/>
          </w:tcPr>
          <w:p w14:paraId="3B2EDC72"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bCs/>
                <w:i w:val="0"/>
                <w:iCs w:val="0"/>
                <w:color w:val="auto"/>
                <w:szCs w:val="24"/>
              </w:rPr>
            </w:pPr>
            <w:r w:rsidRPr="002E75D4">
              <w:rPr>
                <w:rFonts w:asciiTheme="majorHAnsi" w:hAnsiTheme="majorHAnsi" w:cstheme="majorHAnsi"/>
                <w:color w:val="auto"/>
                <w:szCs w:val="24"/>
                <w:lang w:eastAsia="en-US"/>
              </w:rPr>
              <w:t>Description</w:t>
            </w:r>
          </w:p>
        </w:tc>
        <w:tc>
          <w:tcPr>
            <w:tcW w:w="584" w:type="pct"/>
            <w:shd w:val="clear" w:color="auto" w:fill="BF8F00" w:themeFill="accent4" w:themeFillShade="BF"/>
          </w:tcPr>
          <w:p w14:paraId="0FCBCCF2" w14:textId="77777777" w:rsidR="00C03EC4" w:rsidRPr="002E75D4" w:rsidRDefault="00C03EC4" w:rsidP="000D6136">
            <w:pPr>
              <w:pStyle w:val="Paragraphedeliste"/>
              <w:widowControl w:val="0"/>
              <w:autoSpaceDE w:val="0"/>
              <w:autoSpaceDN w:val="0"/>
              <w:adjustRightInd w:val="0"/>
              <w:spacing w:before="60" w:line="240" w:lineRule="auto"/>
              <w:ind w:left="0"/>
              <w:rPr>
                <w:rFonts w:asciiTheme="majorHAnsi" w:hAnsiTheme="majorHAnsi" w:cstheme="majorHAnsi"/>
                <w:color w:val="auto"/>
                <w:szCs w:val="22"/>
                <w:lang w:eastAsia="en-US"/>
              </w:rPr>
            </w:pPr>
            <w:r w:rsidRPr="002E75D4">
              <w:rPr>
                <w:rFonts w:asciiTheme="majorHAnsi" w:hAnsiTheme="majorHAnsi" w:cstheme="majorHAnsi"/>
                <w:color w:val="auto"/>
                <w:szCs w:val="22"/>
                <w:lang w:eastAsia="en-US"/>
              </w:rPr>
              <w:t>Puissance</w:t>
            </w:r>
          </w:p>
          <w:p w14:paraId="188216FD"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bCs/>
                <w:i w:val="0"/>
                <w:iCs w:val="0"/>
                <w:color w:val="auto"/>
                <w:szCs w:val="22"/>
              </w:rPr>
            </w:pPr>
            <w:r w:rsidRPr="002E75D4">
              <w:rPr>
                <w:rFonts w:asciiTheme="majorHAnsi" w:hAnsiTheme="majorHAnsi" w:cstheme="majorHAnsi"/>
                <w:color w:val="auto"/>
                <w:szCs w:val="22"/>
                <w:lang w:eastAsia="en-US"/>
              </w:rPr>
              <w:t>GWh</w:t>
            </w:r>
          </w:p>
        </w:tc>
        <w:tc>
          <w:tcPr>
            <w:tcW w:w="616" w:type="pct"/>
            <w:shd w:val="clear" w:color="auto" w:fill="00B050"/>
          </w:tcPr>
          <w:p w14:paraId="51B8AECB"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bCs/>
                <w:i w:val="0"/>
                <w:iCs w:val="0"/>
                <w:color w:val="auto"/>
                <w:szCs w:val="22"/>
              </w:rPr>
            </w:pPr>
            <w:r w:rsidRPr="002E75D4">
              <w:rPr>
                <w:rFonts w:asciiTheme="majorHAnsi" w:hAnsiTheme="majorHAnsi" w:cstheme="majorHAnsi"/>
                <w:color w:val="auto"/>
                <w:szCs w:val="22"/>
                <w:lang w:eastAsia="en-US"/>
              </w:rPr>
              <w:t>TE-CO2</w:t>
            </w:r>
          </w:p>
        </w:tc>
        <w:tc>
          <w:tcPr>
            <w:tcW w:w="653" w:type="pct"/>
            <w:shd w:val="clear" w:color="auto" w:fill="FF0000"/>
          </w:tcPr>
          <w:p w14:paraId="35167524"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bCs/>
                <w:i w:val="0"/>
                <w:iCs w:val="0"/>
                <w:color w:val="auto"/>
                <w:szCs w:val="22"/>
              </w:rPr>
            </w:pPr>
            <w:r w:rsidRPr="002E75D4">
              <w:rPr>
                <w:rFonts w:asciiTheme="majorHAnsi" w:hAnsiTheme="majorHAnsi" w:cstheme="majorHAnsi"/>
                <w:color w:val="auto"/>
                <w:szCs w:val="22"/>
                <w:lang w:eastAsia="en-US"/>
              </w:rPr>
              <w:t xml:space="preserve">Coût </w:t>
            </w:r>
            <w:r w:rsidRPr="002E75D4">
              <w:rPr>
                <w:rFonts w:asciiTheme="majorHAnsi" w:hAnsiTheme="majorHAnsi" w:cstheme="majorHAnsi"/>
                <w:color w:val="auto"/>
                <w:szCs w:val="22"/>
                <w:lang w:eastAsia="en-US"/>
              </w:rPr>
              <w:br/>
              <w:t>Milliards F</w:t>
            </w:r>
          </w:p>
        </w:tc>
      </w:tr>
      <w:tr w:rsidR="00C03EC4" w:rsidRPr="002E75D4" w14:paraId="69FB76D4" w14:textId="77777777" w:rsidTr="000D6136">
        <w:trPr>
          <w:cnfStyle w:val="000000100000" w:firstRow="0" w:lastRow="0" w:firstColumn="0" w:lastColumn="0" w:oddVBand="0" w:evenVBand="0" w:oddHBand="1" w:evenHBand="0" w:firstRowFirstColumn="0" w:firstRowLastColumn="0" w:lastRowFirstColumn="0" w:lastRowLastColumn="0"/>
        </w:trPr>
        <w:tc>
          <w:tcPr>
            <w:tcW w:w="794" w:type="pct"/>
            <w:shd w:val="clear" w:color="auto" w:fill="FFD5D5"/>
          </w:tcPr>
          <w:p w14:paraId="34FBC10D"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ajorHAnsi" w:hAnsiTheme="majorHAnsi" w:cstheme="majorHAnsi"/>
                <w:b w:val="0"/>
                <w:bCs w:val="0"/>
                <w:i w:val="0"/>
                <w:iCs w:val="0"/>
                <w:szCs w:val="22"/>
              </w:rPr>
            </w:pPr>
            <w:r w:rsidRPr="002E75D4">
              <w:rPr>
                <w:rFonts w:asciiTheme="majorHAnsi" w:hAnsiTheme="majorHAnsi" w:cstheme="majorHAnsi"/>
                <w:szCs w:val="22"/>
              </w:rPr>
              <w:t>DNE EDM</w:t>
            </w:r>
          </w:p>
        </w:tc>
        <w:tc>
          <w:tcPr>
            <w:tcW w:w="2354" w:type="pct"/>
          </w:tcPr>
          <w:p w14:paraId="3929E418" w14:textId="77777777" w:rsidR="00C03EC4" w:rsidRPr="002E75D4" w:rsidRDefault="00C03EC4" w:rsidP="000D6136">
            <w:pPr>
              <w:pStyle w:val="Paragraphedeliste"/>
              <w:widowControl w:val="0"/>
              <w:autoSpaceDE w:val="0"/>
              <w:autoSpaceDN w:val="0"/>
              <w:adjustRightInd w:val="0"/>
              <w:spacing w:before="60" w:line="240" w:lineRule="auto"/>
              <w:ind w:left="0"/>
              <w:jc w:val="left"/>
              <w:rPr>
                <w:rFonts w:asciiTheme="minorHAnsi" w:hAnsiTheme="minorHAnsi" w:cstheme="minorHAnsi"/>
                <w:szCs w:val="22"/>
                <w:lang w:eastAsia="en-US"/>
              </w:rPr>
            </w:pPr>
            <w:r w:rsidRPr="002E75D4">
              <w:rPr>
                <w:rFonts w:asciiTheme="minorHAnsi" w:hAnsiTheme="minorHAnsi" w:cstheme="minorHAnsi"/>
                <w:szCs w:val="22"/>
                <w:lang w:eastAsia="en-US"/>
              </w:rPr>
              <w:t>32 projets de :</w:t>
            </w:r>
          </w:p>
          <w:p w14:paraId="1720346E" w14:textId="77777777" w:rsidR="00C03EC4" w:rsidRPr="002E75D4" w:rsidRDefault="00C03EC4" w:rsidP="000D6136">
            <w:pPr>
              <w:pStyle w:val="Paragraphedeliste"/>
              <w:widowControl w:val="0"/>
              <w:numPr>
                <w:ilvl w:val="0"/>
                <w:numId w:val="19"/>
              </w:numPr>
              <w:autoSpaceDE w:val="0"/>
              <w:autoSpaceDN w:val="0"/>
              <w:adjustRightInd w:val="0"/>
              <w:spacing w:before="60" w:line="240" w:lineRule="auto"/>
              <w:jc w:val="left"/>
              <w:rPr>
                <w:rFonts w:asciiTheme="majorHAnsi" w:hAnsiTheme="majorHAnsi" w:cstheme="majorHAnsi"/>
                <w:szCs w:val="22"/>
                <w:lang w:eastAsia="en-US"/>
              </w:rPr>
            </w:pPr>
            <w:r w:rsidRPr="002E75D4">
              <w:rPr>
                <w:rStyle w:val="Accentuation"/>
                <w:rFonts w:asciiTheme="majorHAnsi" w:hAnsiTheme="majorHAnsi" w:cstheme="majorHAnsi"/>
                <w:b w:val="0"/>
                <w:bCs w:val="0"/>
                <w:i w:val="0"/>
                <w:iCs w:val="0"/>
                <w:szCs w:val="22"/>
              </w:rPr>
              <w:t xml:space="preserve">Études et </w:t>
            </w:r>
            <w:r w:rsidRPr="002E75D4">
              <w:rPr>
                <w:rFonts w:asciiTheme="majorHAnsi" w:hAnsiTheme="majorHAnsi" w:cstheme="majorHAnsi"/>
                <w:szCs w:val="22"/>
                <w:lang w:eastAsia="en-US"/>
              </w:rPr>
              <w:t>Construction de Centrales Solaires</w:t>
            </w:r>
          </w:p>
          <w:p w14:paraId="49880CEB" w14:textId="77777777" w:rsidR="00C03EC4" w:rsidRPr="002E75D4" w:rsidRDefault="00C03EC4" w:rsidP="000D6136">
            <w:pPr>
              <w:pStyle w:val="Paragraphedeliste"/>
              <w:widowControl w:val="0"/>
              <w:numPr>
                <w:ilvl w:val="0"/>
                <w:numId w:val="19"/>
              </w:numPr>
              <w:autoSpaceDE w:val="0"/>
              <w:autoSpaceDN w:val="0"/>
              <w:adjustRightInd w:val="0"/>
              <w:spacing w:before="60" w:line="240" w:lineRule="auto"/>
              <w:jc w:val="left"/>
              <w:rPr>
                <w:rFonts w:asciiTheme="majorHAnsi" w:hAnsiTheme="majorHAnsi" w:cstheme="majorHAnsi"/>
                <w:szCs w:val="22"/>
                <w:lang w:eastAsia="en-US"/>
              </w:rPr>
            </w:pPr>
            <w:r w:rsidRPr="002E75D4">
              <w:rPr>
                <w:rStyle w:val="Accentuation"/>
                <w:rFonts w:asciiTheme="majorHAnsi" w:hAnsiTheme="majorHAnsi" w:cstheme="majorHAnsi"/>
                <w:b w:val="0"/>
                <w:bCs w:val="0"/>
                <w:i w:val="0"/>
                <w:iCs w:val="0"/>
                <w:szCs w:val="22"/>
              </w:rPr>
              <w:t xml:space="preserve">Études et </w:t>
            </w:r>
            <w:r w:rsidRPr="002E75D4">
              <w:rPr>
                <w:rFonts w:asciiTheme="majorHAnsi" w:hAnsiTheme="majorHAnsi" w:cstheme="majorHAnsi"/>
                <w:szCs w:val="22"/>
                <w:lang w:eastAsia="en-US"/>
              </w:rPr>
              <w:t>Construction de Centrales   hydroélectriques</w:t>
            </w:r>
          </w:p>
          <w:p w14:paraId="03646C9D" w14:textId="77777777" w:rsidR="00C03EC4" w:rsidRPr="002E75D4" w:rsidRDefault="00C03EC4" w:rsidP="000D6136">
            <w:pPr>
              <w:pStyle w:val="Paragraphedeliste"/>
              <w:widowControl w:val="0"/>
              <w:numPr>
                <w:ilvl w:val="0"/>
                <w:numId w:val="19"/>
              </w:numPr>
              <w:autoSpaceDE w:val="0"/>
              <w:autoSpaceDN w:val="0"/>
              <w:adjustRightInd w:val="0"/>
              <w:spacing w:before="60" w:line="240" w:lineRule="auto"/>
              <w:jc w:val="left"/>
              <w:rPr>
                <w:rStyle w:val="Accentuation"/>
                <w:rFonts w:asciiTheme="majorHAnsi" w:hAnsiTheme="majorHAnsi" w:cstheme="majorHAnsi"/>
                <w:b w:val="0"/>
                <w:bCs w:val="0"/>
                <w:i w:val="0"/>
                <w:iCs w:val="0"/>
                <w:szCs w:val="22"/>
                <w:lang w:eastAsia="en-US"/>
              </w:rPr>
            </w:pPr>
            <w:r w:rsidRPr="002E75D4">
              <w:rPr>
                <w:rFonts w:asciiTheme="majorHAnsi" w:hAnsiTheme="majorHAnsi" w:cstheme="majorHAnsi"/>
                <w:szCs w:val="22"/>
                <w:lang w:eastAsia="en-US"/>
              </w:rPr>
              <w:t>Réhabilitation, hybridation de centrales hydroélectriques</w:t>
            </w:r>
          </w:p>
        </w:tc>
        <w:tc>
          <w:tcPr>
            <w:tcW w:w="584" w:type="pct"/>
            <w:shd w:val="clear" w:color="auto" w:fill="FFE599" w:themeFill="accent4" w:themeFillTint="66"/>
          </w:tcPr>
          <w:p w14:paraId="3EA78353"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szCs w:val="22"/>
                <w:lang w:eastAsia="en-US"/>
              </w:rPr>
              <w:t>3.099,78</w:t>
            </w:r>
          </w:p>
        </w:tc>
        <w:tc>
          <w:tcPr>
            <w:tcW w:w="616" w:type="pct"/>
            <w:shd w:val="clear" w:color="auto" w:fill="C5E0B3" w:themeFill="accent6" w:themeFillTint="66"/>
          </w:tcPr>
          <w:p w14:paraId="3B65DB26"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szCs w:val="22"/>
                <w:lang w:eastAsia="en-US"/>
              </w:rPr>
              <w:t>1 453 797</w:t>
            </w:r>
          </w:p>
        </w:tc>
        <w:tc>
          <w:tcPr>
            <w:tcW w:w="653" w:type="pct"/>
            <w:shd w:val="clear" w:color="auto" w:fill="FFDDE8"/>
          </w:tcPr>
          <w:p w14:paraId="4D950C08"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szCs w:val="22"/>
                <w:lang w:eastAsia="en-US"/>
              </w:rPr>
              <w:t>963,65</w:t>
            </w:r>
          </w:p>
        </w:tc>
      </w:tr>
      <w:tr w:rsidR="00C03EC4" w:rsidRPr="002E75D4" w14:paraId="12708D58" w14:textId="77777777" w:rsidTr="000D6136">
        <w:tc>
          <w:tcPr>
            <w:tcW w:w="794" w:type="pct"/>
            <w:shd w:val="clear" w:color="auto" w:fill="FFF3F3"/>
          </w:tcPr>
          <w:p w14:paraId="6F0AA0BE"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ajorHAnsi" w:hAnsiTheme="majorHAnsi" w:cstheme="majorHAnsi"/>
                <w:b w:val="0"/>
                <w:bCs w:val="0"/>
                <w:i w:val="0"/>
                <w:iCs w:val="0"/>
                <w:szCs w:val="22"/>
              </w:rPr>
            </w:pPr>
            <w:r w:rsidRPr="002E75D4">
              <w:rPr>
                <w:rFonts w:asciiTheme="majorHAnsi" w:hAnsiTheme="majorHAnsi" w:cstheme="majorHAnsi"/>
                <w:szCs w:val="22"/>
              </w:rPr>
              <w:t>AER-Mali</w:t>
            </w:r>
          </w:p>
        </w:tc>
        <w:tc>
          <w:tcPr>
            <w:tcW w:w="2354" w:type="pct"/>
          </w:tcPr>
          <w:p w14:paraId="05C5914A" w14:textId="77777777" w:rsidR="00C03EC4" w:rsidRPr="002E75D4" w:rsidRDefault="00C03EC4" w:rsidP="000D6136">
            <w:pPr>
              <w:pStyle w:val="Paragraphedeliste"/>
              <w:widowControl w:val="0"/>
              <w:autoSpaceDE w:val="0"/>
              <w:autoSpaceDN w:val="0"/>
              <w:adjustRightInd w:val="0"/>
              <w:spacing w:before="60" w:line="240" w:lineRule="auto"/>
              <w:ind w:left="0"/>
              <w:jc w:val="left"/>
              <w:rPr>
                <w:rFonts w:asciiTheme="minorHAnsi" w:hAnsiTheme="minorHAnsi" w:cstheme="minorHAnsi"/>
                <w:szCs w:val="22"/>
                <w:lang w:eastAsia="en-US"/>
              </w:rPr>
            </w:pPr>
            <w:r w:rsidRPr="002E75D4">
              <w:rPr>
                <w:rFonts w:asciiTheme="minorHAnsi" w:hAnsiTheme="minorHAnsi" w:cstheme="minorHAnsi"/>
                <w:szCs w:val="22"/>
                <w:lang w:eastAsia="en-US"/>
              </w:rPr>
              <w:t>8 projets de :</w:t>
            </w:r>
          </w:p>
          <w:p w14:paraId="07636588" w14:textId="77777777" w:rsidR="00C03EC4" w:rsidRPr="002E75D4" w:rsidRDefault="00C03EC4" w:rsidP="000D6136">
            <w:pPr>
              <w:pStyle w:val="Paragraphedeliste"/>
              <w:widowControl w:val="0"/>
              <w:numPr>
                <w:ilvl w:val="0"/>
                <w:numId w:val="20"/>
              </w:numPr>
              <w:autoSpaceDE w:val="0"/>
              <w:autoSpaceDN w:val="0"/>
              <w:adjustRightInd w:val="0"/>
              <w:spacing w:before="60" w:line="240" w:lineRule="auto"/>
              <w:jc w:val="left"/>
              <w:rPr>
                <w:rFonts w:asciiTheme="majorHAnsi" w:hAnsiTheme="majorHAnsi" w:cstheme="majorHAnsi"/>
                <w:szCs w:val="22"/>
                <w:lang w:eastAsia="en-US"/>
              </w:rPr>
            </w:pPr>
            <w:r w:rsidRPr="002E75D4">
              <w:rPr>
                <w:rFonts w:asciiTheme="majorHAnsi" w:hAnsiTheme="majorHAnsi" w:cstheme="majorHAnsi"/>
                <w:szCs w:val="22"/>
                <w:lang w:eastAsia="en-US"/>
              </w:rPr>
              <w:t>Réalisation de centrales solaires</w:t>
            </w:r>
          </w:p>
          <w:p w14:paraId="0B3AB4E0" w14:textId="77777777" w:rsidR="00C03EC4" w:rsidRPr="002E75D4" w:rsidRDefault="00C03EC4" w:rsidP="000D6136">
            <w:pPr>
              <w:pStyle w:val="Paragraphedeliste"/>
              <w:widowControl w:val="0"/>
              <w:numPr>
                <w:ilvl w:val="0"/>
                <w:numId w:val="20"/>
              </w:numPr>
              <w:autoSpaceDE w:val="0"/>
              <w:autoSpaceDN w:val="0"/>
              <w:adjustRightInd w:val="0"/>
              <w:spacing w:before="60" w:line="240" w:lineRule="auto"/>
              <w:jc w:val="left"/>
              <w:rPr>
                <w:rFonts w:asciiTheme="majorHAnsi" w:hAnsiTheme="majorHAnsi" w:cstheme="majorHAnsi"/>
                <w:szCs w:val="22"/>
              </w:rPr>
            </w:pPr>
            <w:r w:rsidRPr="002E75D4">
              <w:rPr>
                <w:rFonts w:asciiTheme="majorHAnsi" w:hAnsiTheme="majorHAnsi" w:cstheme="majorHAnsi"/>
                <w:szCs w:val="22"/>
              </w:rPr>
              <w:t>Électrification de localités par systèmes solaires</w:t>
            </w:r>
          </w:p>
          <w:p w14:paraId="6639BE21" w14:textId="77777777" w:rsidR="00C03EC4" w:rsidRPr="002E75D4" w:rsidRDefault="00C03EC4" w:rsidP="000D6136">
            <w:pPr>
              <w:pStyle w:val="Paragraphedeliste"/>
              <w:widowControl w:val="0"/>
              <w:numPr>
                <w:ilvl w:val="0"/>
                <w:numId w:val="20"/>
              </w:numPr>
              <w:autoSpaceDE w:val="0"/>
              <w:autoSpaceDN w:val="0"/>
              <w:adjustRightInd w:val="0"/>
              <w:spacing w:before="60" w:line="240" w:lineRule="auto"/>
              <w:jc w:val="left"/>
              <w:rPr>
                <w:rFonts w:asciiTheme="majorHAnsi" w:hAnsiTheme="majorHAnsi" w:cstheme="majorHAnsi"/>
                <w:szCs w:val="22"/>
              </w:rPr>
            </w:pPr>
            <w:r w:rsidRPr="002E75D4">
              <w:rPr>
                <w:rFonts w:asciiTheme="majorHAnsi" w:hAnsiTheme="majorHAnsi" w:cstheme="majorHAnsi"/>
                <w:szCs w:val="22"/>
              </w:rPr>
              <w:t>Réalisation de parcs éoliens et solaires (WAPP)</w:t>
            </w:r>
          </w:p>
          <w:p w14:paraId="503FE023" w14:textId="77777777" w:rsidR="00C03EC4" w:rsidRPr="002E75D4" w:rsidRDefault="00C03EC4" w:rsidP="000D6136">
            <w:pPr>
              <w:pStyle w:val="Paragraphedeliste"/>
              <w:widowControl w:val="0"/>
              <w:numPr>
                <w:ilvl w:val="0"/>
                <w:numId w:val="20"/>
              </w:numPr>
              <w:autoSpaceDE w:val="0"/>
              <w:autoSpaceDN w:val="0"/>
              <w:adjustRightInd w:val="0"/>
              <w:spacing w:before="60" w:line="240" w:lineRule="auto"/>
              <w:jc w:val="left"/>
              <w:rPr>
                <w:rFonts w:asciiTheme="majorHAnsi" w:hAnsiTheme="majorHAnsi" w:cstheme="majorHAnsi"/>
                <w:szCs w:val="22"/>
              </w:rPr>
            </w:pPr>
            <w:r w:rsidRPr="002E75D4">
              <w:rPr>
                <w:rFonts w:asciiTheme="majorHAnsi" w:hAnsiTheme="majorHAnsi" w:cstheme="majorHAnsi"/>
                <w:szCs w:val="22"/>
              </w:rPr>
              <w:t>Projet d’électrification et d’adduction d’eau potable des villages</w:t>
            </w:r>
          </w:p>
          <w:p w14:paraId="3D868AFD" w14:textId="77777777" w:rsidR="00C03EC4" w:rsidRPr="002E75D4" w:rsidRDefault="00C03EC4" w:rsidP="000D6136">
            <w:pPr>
              <w:pStyle w:val="Paragraphedeliste"/>
              <w:widowControl w:val="0"/>
              <w:numPr>
                <w:ilvl w:val="0"/>
                <w:numId w:val="20"/>
              </w:numPr>
              <w:autoSpaceDE w:val="0"/>
              <w:autoSpaceDN w:val="0"/>
              <w:adjustRightInd w:val="0"/>
              <w:spacing w:before="60" w:line="240" w:lineRule="auto"/>
              <w:jc w:val="left"/>
              <w:rPr>
                <w:rFonts w:asciiTheme="majorHAnsi" w:hAnsiTheme="majorHAnsi" w:cstheme="majorHAnsi"/>
                <w:szCs w:val="22"/>
              </w:rPr>
            </w:pPr>
            <w:r w:rsidRPr="002E75D4">
              <w:rPr>
                <w:rFonts w:asciiTheme="majorHAnsi" w:hAnsiTheme="majorHAnsi" w:cstheme="majorHAnsi"/>
                <w:szCs w:val="22"/>
              </w:rPr>
              <w:t>Réalisation de pompes solaires</w:t>
            </w:r>
          </w:p>
          <w:p w14:paraId="6D8ED171" w14:textId="77777777" w:rsidR="00C03EC4" w:rsidRPr="002E75D4" w:rsidRDefault="00C03EC4" w:rsidP="000D6136">
            <w:pPr>
              <w:pStyle w:val="Paragraphedeliste"/>
              <w:widowControl w:val="0"/>
              <w:numPr>
                <w:ilvl w:val="0"/>
                <w:numId w:val="20"/>
              </w:numPr>
              <w:autoSpaceDE w:val="0"/>
              <w:autoSpaceDN w:val="0"/>
              <w:adjustRightInd w:val="0"/>
              <w:spacing w:before="60" w:line="240" w:lineRule="auto"/>
              <w:jc w:val="left"/>
              <w:rPr>
                <w:rStyle w:val="Accentuation"/>
                <w:rFonts w:asciiTheme="majorHAnsi" w:hAnsiTheme="majorHAnsi" w:cstheme="majorHAnsi"/>
                <w:b w:val="0"/>
                <w:bCs w:val="0"/>
                <w:i w:val="0"/>
                <w:iCs w:val="0"/>
                <w:szCs w:val="22"/>
              </w:rPr>
            </w:pPr>
            <w:r w:rsidRPr="002E75D4">
              <w:rPr>
                <w:rFonts w:asciiTheme="majorHAnsi" w:hAnsiTheme="majorHAnsi" w:cstheme="majorHAnsi"/>
                <w:szCs w:val="22"/>
              </w:rPr>
              <w:t>Projet d'irrigation solaire</w:t>
            </w:r>
          </w:p>
        </w:tc>
        <w:tc>
          <w:tcPr>
            <w:tcW w:w="584" w:type="pct"/>
            <w:shd w:val="clear" w:color="auto" w:fill="FFF2CC" w:themeFill="accent4" w:themeFillTint="33"/>
          </w:tcPr>
          <w:p w14:paraId="1B05CB79"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szCs w:val="22"/>
                <w:lang w:eastAsia="en-US"/>
              </w:rPr>
              <w:t>925</w:t>
            </w:r>
          </w:p>
        </w:tc>
        <w:tc>
          <w:tcPr>
            <w:tcW w:w="616" w:type="pct"/>
            <w:shd w:val="clear" w:color="auto" w:fill="E2EFD9" w:themeFill="accent6" w:themeFillTint="33"/>
          </w:tcPr>
          <w:p w14:paraId="485B9854"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szCs w:val="22"/>
                <w:lang w:eastAsia="en-US"/>
              </w:rPr>
              <w:t>434</w:t>
            </w:r>
          </w:p>
        </w:tc>
        <w:tc>
          <w:tcPr>
            <w:tcW w:w="653" w:type="pct"/>
            <w:shd w:val="clear" w:color="auto" w:fill="FFEBF2"/>
          </w:tcPr>
          <w:p w14:paraId="7CEFB145"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szCs w:val="22"/>
                <w:lang w:eastAsia="en-US"/>
              </w:rPr>
              <w:t>402,768</w:t>
            </w:r>
          </w:p>
        </w:tc>
      </w:tr>
      <w:tr w:rsidR="00C03EC4" w:rsidRPr="002E75D4" w14:paraId="0B350565" w14:textId="77777777" w:rsidTr="000D6136">
        <w:trPr>
          <w:cnfStyle w:val="000000100000" w:firstRow="0" w:lastRow="0" w:firstColumn="0" w:lastColumn="0" w:oddVBand="0" w:evenVBand="0" w:oddHBand="1" w:evenHBand="0" w:firstRowFirstColumn="0" w:firstRowLastColumn="0" w:lastRowFirstColumn="0" w:lastRowLastColumn="0"/>
        </w:trPr>
        <w:tc>
          <w:tcPr>
            <w:tcW w:w="794" w:type="pct"/>
            <w:shd w:val="clear" w:color="auto" w:fill="FFD5D5"/>
          </w:tcPr>
          <w:p w14:paraId="02EB2464"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ajorHAnsi" w:hAnsiTheme="majorHAnsi" w:cstheme="majorHAnsi"/>
                <w:b w:val="0"/>
                <w:bCs w:val="0"/>
                <w:i w:val="0"/>
                <w:iCs w:val="0"/>
                <w:szCs w:val="22"/>
              </w:rPr>
            </w:pPr>
          </w:p>
          <w:p w14:paraId="11DFC561"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ajorHAnsi" w:hAnsiTheme="majorHAnsi" w:cstheme="majorHAnsi"/>
                <w:b w:val="0"/>
                <w:bCs w:val="0"/>
                <w:i w:val="0"/>
                <w:iCs w:val="0"/>
                <w:szCs w:val="22"/>
              </w:rPr>
            </w:pPr>
            <w:r w:rsidRPr="002E75D4">
              <w:rPr>
                <w:rStyle w:val="Accentuation"/>
                <w:rFonts w:asciiTheme="majorHAnsi" w:hAnsiTheme="majorHAnsi" w:cstheme="majorHAnsi"/>
                <w:b w:val="0"/>
                <w:bCs w:val="0"/>
                <w:i w:val="0"/>
                <w:iCs w:val="0"/>
                <w:szCs w:val="22"/>
              </w:rPr>
              <w:t>AMADER</w:t>
            </w:r>
          </w:p>
          <w:p w14:paraId="50A3E4CB"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ajorHAnsi" w:hAnsiTheme="majorHAnsi" w:cstheme="majorHAnsi"/>
                <w:b w:val="0"/>
                <w:bCs w:val="0"/>
                <w:i w:val="0"/>
                <w:iCs w:val="0"/>
                <w:szCs w:val="22"/>
              </w:rPr>
            </w:pPr>
          </w:p>
          <w:p w14:paraId="3A8D2653"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ajorHAnsi" w:hAnsiTheme="majorHAnsi" w:cstheme="majorHAnsi"/>
                <w:b w:val="0"/>
                <w:bCs w:val="0"/>
                <w:i w:val="0"/>
                <w:iCs w:val="0"/>
                <w:szCs w:val="22"/>
              </w:rPr>
            </w:pPr>
          </w:p>
        </w:tc>
        <w:tc>
          <w:tcPr>
            <w:tcW w:w="2354" w:type="pct"/>
          </w:tcPr>
          <w:p w14:paraId="54040B2D"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inorHAnsi" w:hAnsiTheme="minorHAnsi" w:cstheme="minorHAnsi"/>
                <w:b w:val="0"/>
                <w:bCs w:val="0"/>
                <w:i w:val="0"/>
                <w:iCs w:val="0"/>
                <w:szCs w:val="22"/>
              </w:rPr>
            </w:pPr>
            <w:r w:rsidRPr="002E75D4">
              <w:rPr>
                <w:rStyle w:val="Accentuation"/>
                <w:rFonts w:asciiTheme="minorHAnsi" w:hAnsiTheme="minorHAnsi" w:cstheme="minorHAnsi"/>
                <w:b w:val="0"/>
                <w:bCs w:val="0"/>
                <w:i w:val="0"/>
                <w:iCs w:val="0"/>
                <w:szCs w:val="22"/>
              </w:rPr>
              <w:t>4 projets de :</w:t>
            </w:r>
          </w:p>
          <w:p w14:paraId="3A2DB310" w14:textId="77777777" w:rsidR="00C03EC4" w:rsidRPr="002E75D4" w:rsidRDefault="00C03EC4" w:rsidP="000D6136">
            <w:pPr>
              <w:pStyle w:val="Paragraphedeliste"/>
              <w:widowControl w:val="0"/>
              <w:numPr>
                <w:ilvl w:val="0"/>
                <w:numId w:val="21"/>
              </w:numPr>
              <w:autoSpaceDE w:val="0"/>
              <w:autoSpaceDN w:val="0"/>
              <w:adjustRightInd w:val="0"/>
              <w:spacing w:before="60" w:line="240" w:lineRule="auto"/>
              <w:jc w:val="left"/>
              <w:rPr>
                <w:rFonts w:asciiTheme="majorHAnsi" w:hAnsiTheme="majorHAnsi" w:cstheme="majorHAnsi"/>
                <w:szCs w:val="22"/>
              </w:rPr>
            </w:pPr>
            <w:r w:rsidRPr="002E75D4">
              <w:rPr>
                <w:rFonts w:asciiTheme="majorHAnsi" w:hAnsiTheme="majorHAnsi" w:cstheme="majorHAnsi"/>
                <w:szCs w:val="22"/>
              </w:rPr>
              <w:t>Système Hybride Électrification Rurale</w:t>
            </w:r>
          </w:p>
          <w:p w14:paraId="063B2E01" w14:textId="77777777" w:rsidR="00C03EC4" w:rsidRPr="002E75D4" w:rsidRDefault="00C03EC4" w:rsidP="000D6136">
            <w:pPr>
              <w:pStyle w:val="Paragraphedeliste"/>
              <w:widowControl w:val="0"/>
              <w:numPr>
                <w:ilvl w:val="0"/>
                <w:numId w:val="21"/>
              </w:numPr>
              <w:autoSpaceDE w:val="0"/>
              <w:autoSpaceDN w:val="0"/>
              <w:adjustRightInd w:val="0"/>
              <w:spacing w:before="60" w:line="240" w:lineRule="auto"/>
              <w:jc w:val="left"/>
              <w:rPr>
                <w:rFonts w:asciiTheme="majorHAnsi" w:hAnsiTheme="majorHAnsi" w:cstheme="majorHAnsi"/>
                <w:szCs w:val="22"/>
              </w:rPr>
            </w:pPr>
            <w:r w:rsidRPr="002E75D4">
              <w:rPr>
                <w:rFonts w:asciiTheme="majorHAnsi" w:hAnsiTheme="majorHAnsi" w:cstheme="majorHAnsi"/>
                <w:szCs w:val="22"/>
              </w:rPr>
              <w:t>Projet Électrification de localités Rurales</w:t>
            </w:r>
          </w:p>
          <w:p w14:paraId="276090E4" w14:textId="77777777" w:rsidR="00C03EC4" w:rsidRPr="002E75D4" w:rsidRDefault="00C03EC4" w:rsidP="000D6136">
            <w:pPr>
              <w:pStyle w:val="Paragraphedeliste"/>
              <w:widowControl w:val="0"/>
              <w:numPr>
                <w:ilvl w:val="0"/>
                <w:numId w:val="21"/>
              </w:numPr>
              <w:autoSpaceDE w:val="0"/>
              <w:autoSpaceDN w:val="0"/>
              <w:adjustRightInd w:val="0"/>
              <w:spacing w:before="60" w:line="240" w:lineRule="auto"/>
              <w:jc w:val="left"/>
              <w:rPr>
                <w:rStyle w:val="Accentuation"/>
                <w:rFonts w:asciiTheme="majorHAnsi" w:hAnsiTheme="majorHAnsi" w:cstheme="majorHAnsi"/>
                <w:b w:val="0"/>
                <w:bCs w:val="0"/>
                <w:i w:val="0"/>
                <w:iCs w:val="0"/>
                <w:szCs w:val="22"/>
              </w:rPr>
            </w:pPr>
            <w:r w:rsidRPr="002E75D4">
              <w:rPr>
                <w:rFonts w:asciiTheme="majorHAnsi" w:hAnsiTheme="majorHAnsi" w:cstheme="majorHAnsi"/>
                <w:szCs w:val="22"/>
              </w:rPr>
              <w:t>Projet d’Énergie Solaire pour le Développement Rural</w:t>
            </w:r>
          </w:p>
        </w:tc>
        <w:tc>
          <w:tcPr>
            <w:tcW w:w="584" w:type="pct"/>
            <w:shd w:val="clear" w:color="auto" w:fill="FFE599" w:themeFill="accent4" w:themeFillTint="66"/>
          </w:tcPr>
          <w:p w14:paraId="3EA33AF8"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szCs w:val="22"/>
              </w:rPr>
              <w:t>23</w:t>
            </w:r>
          </w:p>
        </w:tc>
        <w:tc>
          <w:tcPr>
            <w:tcW w:w="616" w:type="pct"/>
            <w:shd w:val="clear" w:color="auto" w:fill="C5E0B3" w:themeFill="accent6" w:themeFillTint="66"/>
          </w:tcPr>
          <w:p w14:paraId="171A0228"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szCs w:val="22"/>
              </w:rPr>
              <w:t>15</w:t>
            </w:r>
          </w:p>
        </w:tc>
        <w:tc>
          <w:tcPr>
            <w:tcW w:w="653" w:type="pct"/>
            <w:shd w:val="clear" w:color="auto" w:fill="FFDDE8"/>
          </w:tcPr>
          <w:p w14:paraId="5BD165A3"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szCs w:val="22"/>
              </w:rPr>
              <w:t>75</w:t>
            </w:r>
          </w:p>
        </w:tc>
      </w:tr>
      <w:tr w:rsidR="00C03EC4" w:rsidRPr="002E75D4" w14:paraId="693E3D1B" w14:textId="77777777" w:rsidTr="000D6136">
        <w:tc>
          <w:tcPr>
            <w:tcW w:w="794" w:type="pct"/>
            <w:shd w:val="clear" w:color="auto" w:fill="FFF3F3"/>
          </w:tcPr>
          <w:p w14:paraId="0C1CABBE"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Sociétés minières</w:t>
            </w:r>
          </w:p>
        </w:tc>
        <w:tc>
          <w:tcPr>
            <w:tcW w:w="2354" w:type="pct"/>
          </w:tcPr>
          <w:p w14:paraId="42F54667"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inorHAnsi" w:hAnsiTheme="minorHAnsi" w:cstheme="minorHAnsi"/>
                <w:b w:val="0"/>
                <w:bCs w:val="0"/>
                <w:i w:val="0"/>
                <w:iCs w:val="0"/>
              </w:rPr>
            </w:pPr>
            <w:r w:rsidRPr="002E75D4">
              <w:rPr>
                <w:rStyle w:val="Accentuation"/>
                <w:rFonts w:asciiTheme="minorHAnsi" w:hAnsiTheme="minorHAnsi" w:cstheme="minorHAnsi"/>
                <w:b w:val="0"/>
                <w:bCs w:val="0"/>
                <w:i w:val="0"/>
                <w:iCs w:val="0"/>
              </w:rPr>
              <w:t>4</w:t>
            </w:r>
            <w:r w:rsidRPr="002E75D4">
              <w:rPr>
                <w:rFonts w:asciiTheme="minorHAnsi" w:hAnsiTheme="minorHAnsi" w:cstheme="minorHAnsi"/>
              </w:rPr>
              <w:t xml:space="preserve"> Centrales solaires hybrides de mines d’or</w:t>
            </w:r>
          </w:p>
        </w:tc>
        <w:tc>
          <w:tcPr>
            <w:tcW w:w="584" w:type="pct"/>
            <w:shd w:val="clear" w:color="auto" w:fill="FFF2CC" w:themeFill="accent4" w:themeFillTint="33"/>
          </w:tcPr>
          <w:p w14:paraId="569AC7F7"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rPr>
              <w:t>149</w:t>
            </w:r>
          </w:p>
        </w:tc>
        <w:tc>
          <w:tcPr>
            <w:tcW w:w="616" w:type="pct"/>
            <w:shd w:val="clear" w:color="auto" w:fill="E2EFD9" w:themeFill="accent6" w:themeFillTint="33"/>
          </w:tcPr>
          <w:p w14:paraId="0AF633D0"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rPr>
              <w:t>69</w:t>
            </w:r>
          </w:p>
        </w:tc>
        <w:tc>
          <w:tcPr>
            <w:tcW w:w="653" w:type="pct"/>
            <w:shd w:val="clear" w:color="auto" w:fill="FFEBF2"/>
          </w:tcPr>
          <w:p w14:paraId="222E6750" w14:textId="77777777" w:rsidR="00C03EC4" w:rsidRPr="002E75D4" w:rsidRDefault="00C03EC4" w:rsidP="000D6136">
            <w:pPr>
              <w:pStyle w:val="Paragraphedeliste"/>
              <w:widowControl w:val="0"/>
              <w:autoSpaceDE w:val="0"/>
              <w:autoSpaceDN w:val="0"/>
              <w:adjustRightInd w:val="0"/>
              <w:spacing w:before="60" w:line="240" w:lineRule="auto"/>
              <w:ind w:left="0"/>
              <w:rPr>
                <w:rStyle w:val="Accentuation"/>
                <w:rFonts w:asciiTheme="majorHAnsi" w:hAnsiTheme="majorHAnsi" w:cstheme="majorHAnsi"/>
                <w:b w:val="0"/>
                <w:bCs w:val="0"/>
                <w:i w:val="0"/>
                <w:iCs w:val="0"/>
                <w:szCs w:val="22"/>
              </w:rPr>
            </w:pPr>
            <w:r w:rsidRPr="002E75D4">
              <w:rPr>
                <w:rFonts w:asciiTheme="majorHAnsi" w:hAnsiTheme="majorHAnsi" w:cstheme="majorHAnsi"/>
              </w:rPr>
              <w:t>65</w:t>
            </w:r>
          </w:p>
        </w:tc>
      </w:tr>
      <w:tr w:rsidR="00C03EC4" w:rsidRPr="002E75D4" w14:paraId="150C5758" w14:textId="77777777" w:rsidTr="000D6136">
        <w:trPr>
          <w:cnfStyle w:val="000000100000" w:firstRow="0" w:lastRow="0" w:firstColumn="0" w:lastColumn="0" w:oddVBand="0" w:evenVBand="0" w:oddHBand="1" w:evenHBand="0" w:firstRowFirstColumn="0" w:firstRowLastColumn="0" w:lastRowFirstColumn="0" w:lastRowLastColumn="0"/>
        </w:trPr>
        <w:tc>
          <w:tcPr>
            <w:tcW w:w="794" w:type="pct"/>
            <w:shd w:val="clear" w:color="auto" w:fill="FFD5D5"/>
          </w:tcPr>
          <w:p w14:paraId="13BB14DF"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ajorHAnsi" w:hAnsiTheme="majorHAnsi" w:cstheme="majorHAnsi"/>
                <w:b w:val="0"/>
                <w:bCs w:val="0"/>
                <w:i w:val="0"/>
                <w:iCs w:val="0"/>
                <w:szCs w:val="22"/>
              </w:rPr>
            </w:pPr>
            <w:r w:rsidRPr="002E75D4">
              <w:rPr>
                <w:rStyle w:val="Accentuation"/>
                <w:rFonts w:asciiTheme="majorHAnsi" w:hAnsiTheme="majorHAnsi" w:cstheme="majorHAnsi"/>
                <w:b w:val="0"/>
                <w:bCs w:val="0"/>
                <w:i w:val="0"/>
                <w:iCs w:val="0"/>
                <w:szCs w:val="22"/>
              </w:rPr>
              <w:t>ANADEB</w:t>
            </w:r>
          </w:p>
        </w:tc>
        <w:tc>
          <w:tcPr>
            <w:tcW w:w="2354" w:type="pct"/>
          </w:tcPr>
          <w:p w14:paraId="0B1C5D3F" w14:textId="77777777" w:rsidR="00C03EC4" w:rsidRPr="002E75D4" w:rsidRDefault="00C03EC4" w:rsidP="000D6136">
            <w:pPr>
              <w:pStyle w:val="Paragraphedeliste"/>
              <w:widowControl w:val="0"/>
              <w:autoSpaceDE w:val="0"/>
              <w:autoSpaceDN w:val="0"/>
              <w:adjustRightInd w:val="0"/>
              <w:spacing w:before="60" w:line="240" w:lineRule="auto"/>
              <w:ind w:left="0"/>
              <w:jc w:val="left"/>
              <w:rPr>
                <w:rStyle w:val="Accentuation"/>
                <w:rFonts w:asciiTheme="minorHAnsi" w:hAnsiTheme="minorHAnsi" w:cstheme="minorHAnsi"/>
                <w:b w:val="0"/>
                <w:bCs w:val="0"/>
                <w:i w:val="0"/>
                <w:iCs w:val="0"/>
                <w:szCs w:val="22"/>
              </w:rPr>
            </w:pPr>
            <w:r w:rsidRPr="002E75D4">
              <w:rPr>
                <w:rStyle w:val="Accentuation"/>
                <w:rFonts w:asciiTheme="minorHAnsi" w:hAnsiTheme="minorHAnsi" w:cstheme="minorHAnsi"/>
                <w:b w:val="0"/>
                <w:bCs w:val="0"/>
                <w:i w:val="0"/>
                <w:iCs w:val="0"/>
                <w:szCs w:val="22"/>
              </w:rPr>
              <w:t>6 Projets de :</w:t>
            </w:r>
          </w:p>
          <w:p w14:paraId="5A31F022" w14:textId="77777777" w:rsidR="00C03EC4" w:rsidRPr="002E75D4" w:rsidRDefault="00C03EC4" w:rsidP="000D6136">
            <w:pPr>
              <w:pStyle w:val="Paragraphedeliste"/>
              <w:widowControl w:val="0"/>
              <w:numPr>
                <w:ilvl w:val="0"/>
                <w:numId w:val="22"/>
              </w:numPr>
              <w:autoSpaceDE w:val="0"/>
              <w:autoSpaceDN w:val="0"/>
              <w:adjustRightInd w:val="0"/>
              <w:spacing w:before="60" w:line="240" w:lineRule="auto"/>
              <w:jc w:val="left"/>
              <w:rPr>
                <w:rFonts w:asciiTheme="majorHAnsi" w:hAnsiTheme="majorHAnsi" w:cstheme="majorHAnsi"/>
                <w:szCs w:val="22"/>
              </w:rPr>
            </w:pPr>
            <w:r w:rsidRPr="002E75D4">
              <w:rPr>
                <w:rFonts w:asciiTheme="majorHAnsi" w:hAnsiTheme="majorHAnsi" w:cstheme="majorHAnsi"/>
                <w:szCs w:val="22"/>
              </w:rPr>
              <w:t>Diffusion des technologies à Bioénergie</w:t>
            </w:r>
          </w:p>
          <w:p w14:paraId="48D635AC" w14:textId="77777777" w:rsidR="00C03EC4" w:rsidRPr="002E75D4" w:rsidRDefault="00C03EC4" w:rsidP="000D6136">
            <w:pPr>
              <w:pStyle w:val="Paragraphedeliste"/>
              <w:widowControl w:val="0"/>
              <w:numPr>
                <w:ilvl w:val="0"/>
                <w:numId w:val="22"/>
              </w:numPr>
              <w:autoSpaceDE w:val="0"/>
              <w:autoSpaceDN w:val="0"/>
              <w:adjustRightInd w:val="0"/>
              <w:spacing w:before="60" w:line="240" w:lineRule="auto"/>
              <w:jc w:val="left"/>
              <w:rPr>
                <w:rFonts w:asciiTheme="majorHAnsi" w:hAnsiTheme="majorHAnsi" w:cstheme="majorHAnsi"/>
                <w:szCs w:val="22"/>
              </w:rPr>
            </w:pPr>
            <w:r w:rsidRPr="002E75D4">
              <w:rPr>
                <w:rFonts w:asciiTheme="majorHAnsi" w:hAnsiTheme="majorHAnsi" w:cstheme="majorHAnsi"/>
                <w:szCs w:val="22"/>
              </w:rPr>
              <w:t>Étude de la construction d’une centrale électrique à biogaz</w:t>
            </w:r>
          </w:p>
          <w:p w14:paraId="5CD5E1D9" w14:textId="77777777" w:rsidR="00C03EC4" w:rsidRPr="002E75D4" w:rsidRDefault="00C03EC4" w:rsidP="000D6136">
            <w:pPr>
              <w:pStyle w:val="Paragraphedeliste"/>
              <w:widowControl w:val="0"/>
              <w:numPr>
                <w:ilvl w:val="0"/>
                <w:numId w:val="22"/>
              </w:numPr>
              <w:autoSpaceDE w:val="0"/>
              <w:autoSpaceDN w:val="0"/>
              <w:adjustRightInd w:val="0"/>
              <w:spacing w:before="60" w:line="240" w:lineRule="auto"/>
              <w:jc w:val="left"/>
              <w:rPr>
                <w:rFonts w:asciiTheme="majorHAnsi" w:hAnsiTheme="majorHAnsi" w:cstheme="majorHAnsi"/>
                <w:szCs w:val="22"/>
              </w:rPr>
            </w:pPr>
            <w:r w:rsidRPr="002E75D4">
              <w:rPr>
                <w:rFonts w:asciiTheme="majorHAnsi" w:hAnsiTheme="majorHAnsi" w:cstheme="majorHAnsi"/>
                <w:szCs w:val="22"/>
              </w:rPr>
              <w:t>Projet Multi-Énergies pour la Résilience et la gestion Intégrée des Terroirs - (MERIT)</w:t>
            </w:r>
          </w:p>
          <w:p w14:paraId="14461DEC" w14:textId="77777777" w:rsidR="00C03EC4" w:rsidRPr="002E75D4" w:rsidRDefault="00C03EC4" w:rsidP="000D6136">
            <w:pPr>
              <w:pStyle w:val="Paragraphedeliste"/>
              <w:widowControl w:val="0"/>
              <w:numPr>
                <w:ilvl w:val="0"/>
                <w:numId w:val="22"/>
              </w:numPr>
              <w:autoSpaceDE w:val="0"/>
              <w:autoSpaceDN w:val="0"/>
              <w:adjustRightInd w:val="0"/>
              <w:spacing w:before="60" w:line="240" w:lineRule="auto"/>
              <w:jc w:val="left"/>
              <w:rPr>
                <w:rStyle w:val="Accentuation"/>
                <w:rFonts w:asciiTheme="majorHAnsi" w:hAnsiTheme="majorHAnsi" w:cstheme="majorHAnsi"/>
                <w:b w:val="0"/>
                <w:bCs w:val="0"/>
                <w:i w:val="0"/>
                <w:iCs w:val="0"/>
                <w:szCs w:val="22"/>
              </w:rPr>
            </w:pPr>
            <w:r w:rsidRPr="002E75D4">
              <w:rPr>
                <w:rFonts w:asciiTheme="majorHAnsi" w:hAnsiTheme="majorHAnsi" w:cstheme="majorHAnsi"/>
                <w:szCs w:val="22"/>
              </w:rPr>
              <w:t>Réalisation d’une Zone d’Activités Électrifiée</w:t>
            </w:r>
          </w:p>
        </w:tc>
        <w:tc>
          <w:tcPr>
            <w:tcW w:w="584" w:type="pct"/>
            <w:shd w:val="clear" w:color="auto" w:fill="FFE599" w:themeFill="accent4" w:themeFillTint="66"/>
          </w:tcPr>
          <w:p w14:paraId="60F6A346" w14:textId="77777777" w:rsidR="00C03EC4" w:rsidRPr="002E75D4" w:rsidRDefault="00C03EC4" w:rsidP="000D6136">
            <w:pPr>
              <w:pStyle w:val="Paragraphedeliste"/>
              <w:widowControl w:val="0"/>
              <w:autoSpaceDE w:val="0"/>
              <w:autoSpaceDN w:val="0"/>
              <w:adjustRightInd w:val="0"/>
              <w:spacing w:before="60" w:line="240" w:lineRule="auto"/>
              <w:ind w:left="0"/>
              <w:rPr>
                <w:rFonts w:asciiTheme="majorHAnsi" w:hAnsiTheme="majorHAnsi" w:cstheme="majorHAnsi"/>
                <w:szCs w:val="22"/>
              </w:rPr>
            </w:pPr>
            <w:r w:rsidRPr="002E75D4">
              <w:rPr>
                <w:rFonts w:asciiTheme="majorHAnsi" w:hAnsiTheme="majorHAnsi" w:cstheme="majorHAnsi"/>
                <w:szCs w:val="24"/>
              </w:rPr>
              <w:t>1404</w:t>
            </w:r>
          </w:p>
        </w:tc>
        <w:tc>
          <w:tcPr>
            <w:tcW w:w="616" w:type="pct"/>
            <w:shd w:val="clear" w:color="auto" w:fill="C5E0B3" w:themeFill="accent6" w:themeFillTint="66"/>
          </w:tcPr>
          <w:p w14:paraId="70E2ABA3" w14:textId="77777777" w:rsidR="00C03EC4" w:rsidRPr="002E75D4" w:rsidRDefault="00C03EC4" w:rsidP="000D6136">
            <w:pPr>
              <w:pStyle w:val="Paragraphedeliste"/>
              <w:widowControl w:val="0"/>
              <w:autoSpaceDE w:val="0"/>
              <w:autoSpaceDN w:val="0"/>
              <w:adjustRightInd w:val="0"/>
              <w:spacing w:before="60" w:line="240" w:lineRule="auto"/>
              <w:ind w:left="0"/>
              <w:rPr>
                <w:rFonts w:asciiTheme="majorHAnsi" w:hAnsiTheme="majorHAnsi" w:cstheme="majorHAnsi"/>
                <w:szCs w:val="22"/>
              </w:rPr>
            </w:pPr>
          </w:p>
        </w:tc>
        <w:tc>
          <w:tcPr>
            <w:tcW w:w="653" w:type="pct"/>
            <w:shd w:val="clear" w:color="auto" w:fill="FFDDE8"/>
          </w:tcPr>
          <w:p w14:paraId="42DF8C0B" w14:textId="77777777" w:rsidR="00C03EC4" w:rsidRPr="002E75D4" w:rsidRDefault="00C03EC4" w:rsidP="000D6136">
            <w:pPr>
              <w:pStyle w:val="Paragraphedeliste"/>
              <w:widowControl w:val="0"/>
              <w:autoSpaceDE w:val="0"/>
              <w:autoSpaceDN w:val="0"/>
              <w:adjustRightInd w:val="0"/>
              <w:spacing w:before="60" w:line="240" w:lineRule="auto"/>
              <w:ind w:left="0"/>
              <w:rPr>
                <w:rFonts w:asciiTheme="majorHAnsi" w:hAnsiTheme="majorHAnsi" w:cstheme="majorHAnsi"/>
                <w:szCs w:val="22"/>
              </w:rPr>
            </w:pPr>
            <w:r w:rsidRPr="002E75D4">
              <w:rPr>
                <w:rFonts w:asciiTheme="majorHAnsi" w:hAnsiTheme="majorHAnsi" w:cstheme="majorHAnsi"/>
                <w:szCs w:val="24"/>
              </w:rPr>
              <w:t>12,415</w:t>
            </w:r>
          </w:p>
        </w:tc>
      </w:tr>
    </w:tbl>
    <w:p w14:paraId="157F7A2D" w14:textId="77777777" w:rsidR="00C03EC4" w:rsidRPr="002E75D4" w:rsidRDefault="00C03EC4" w:rsidP="00C03EC4">
      <w:pPr>
        <w:spacing w:after="0" w:line="240" w:lineRule="auto"/>
        <w:jc w:val="both"/>
        <w:rPr>
          <w:rFonts w:asciiTheme="majorHAnsi" w:eastAsia="Calibri" w:hAnsiTheme="majorHAnsi" w:cstheme="majorHAnsi"/>
          <w:sz w:val="40"/>
          <w:szCs w:val="40"/>
        </w:rPr>
      </w:pPr>
    </w:p>
    <w:p w14:paraId="567ED475" w14:textId="77777777" w:rsidR="00C03EC4" w:rsidRPr="00F24A9E" w:rsidRDefault="00C03EC4" w:rsidP="00C03EC4">
      <w:pPr>
        <w:spacing w:after="0" w:line="240" w:lineRule="auto"/>
        <w:jc w:val="both"/>
        <w:rPr>
          <w:rFonts w:asciiTheme="majorHAnsi" w:eastAsia="Calibri" w:hAnsiTheme="majorHAnsi" w:cstheme="majorHAnsi"/>
          <w:b/>
          <w:sz w:val="24"/>
          <w:szCs w:val="24"/>
        </w:rPr>
      </w:pPr>
      <w:r w:rsidRPr="00F24A9E">
        <w:rPr>
          <w:rFonts w:asciiTheme="majorHAnsi" w:eastAsia="Calibri" w:hAnsiTheme="majorHAnsi" w:cstheme="majorHAnsi"/>
          <w:b/>
          <w:sz w:val="24"/>
          <w:szCs w:val="24"/>
        </w:rPr>
        <w:t>Émissions de GES du secteur de l’énergie</w:t>
      </w:r>
    </w:p>
    <w:p w14:paraId="5AA96A9D" w14:textId="77777777" w:rsidR="00C03EC4" w:rsidRDefault="00C03EC4" w:rsidP="00C03EC4">
      <w:pPr>
        <w:spacing w:after="0" w:line="240" w:lineRule="auto"/>
        <w:jc w:val="both"/>
        <w:rPr>
          <w:rFonts w:asciiTheme="majorHAnsi" w:eastAsia="Calibri" w:hAnsiTheme="majorHAnsi" w:cstheme="majorHAnsi"/>
          <w:sz w:val="24"/>
        </w:rPr>
      </w:pPr>
    </w:p>
    <w:p w14:paraId="306BE845" w14:textId="77777777" w:rsidR="00C03EC4" w:rsidRPr="002E75D4" w:rsidRDefault="00C03EC4" w:rsidP="00C03EC4">
      <w:pPr>
        <w:spacing w:after="0" w:line="240" w:lineRule="auto"/>
        <w:jc w:val="both"/>
        <w:rPr>
          <w:rFonts w:asciiTheme="majorHAnsi" w:eastAsia="Calibri" w:hAnsiTheme="majorHAnsi" w:cstheme="majorHAnsi"/>
          <w:sz w:val="24"/>
          <w:szCs w:val="24"/>
        </w:rPr>
      </w:pPr>
      <w:r w:rsidRPr="007C42D7">
        <w:rPr>
          <w:rFonts w:asciiTheme="majorHAnsi" w:eastAsia="Calibri" w:hAnsiTheme="majorHAnsi" w:cstheme="majorHAnsi"/>
          <w:b/>
          <w:bCs/>
          <w:sz w:val="24"/>
          <w:szCs w:val="24"/>
          <w:u w:val="single"/>
        </w:rPr>
        <w:t>Tableau 11</w:t>
      </w:r>
      <w:r w:rsidRPr="002E75D4">
        <w:rPr>
          <w:rFonts w:asciiTheme="majorHAnsi" w:eastAsia="Calibri" w:hAnsiTheme="majorHAnsi" w:cstheme="majorHAnsi"/>
          <w:b/>
          <w:sz w:val="24"/>
          <w:szCs w:val="24"/>
        </w:rPr>
        <w:t> :</w:t>
      </w:r>
      <w:r w:rsidRPr="002E75D4">
        <w:rPr>
          <w:rFonts w:asciiTheme="majorHAnsi" w:eastAsia="Calibri" w:hAnsiTheme="majorHAnsi" w:cstheme="majorHAnsi"/>
          <w:sz w:val="24"/>
          <w:szCs w:val="24"/>
        </w:rPr>
        <w:t xml:space="preserve"> Émissions de GES pour la période 2019-2030</w:t>
      </w:r>
    </w:p>
    <w:p w14:paraId="36BA73BC" w14:textId="77777777" w:rsidR="00C03EC4" w:rsidRPr="002E75D4" w:rsidRDefault="00C03EC4" w:rsidP="00C03EC4">
      <w:pPr>
        <w:spacing w:after="0" w:line="240" w:lineRule="auto"/>
        <w:ind w:left="708" w:hanging="708"/>
        <w:jc w:val="both"/>
        <w:rPr>
          <w:rFonts w:asciiTheme="majorHAnsi" w:eastAsia="Calibri" w:hAnsiTheme="majorHAnsi" w:cstheme="majorHAnsi"/>
          <w:sz w:val="24"/>
        </w:rPr>
      </w:pPr>
    </w:p>
    <w:tbl>
      <w:tblPr>
        <w:tblStyle w:val="Grillemoyenne3-Accent1"/>
        <w:tblW w:w="9781" w:type="dxa"/>
        <w:tblLook w:val="0420" w:firstRow="1" w:lastRow="0" w:firstColumn="0" w:lastColumn="0" w:noHBand="0" w:noVBand="1"/>
      </w:tblPr>
      <w:tblGrid>
        <w:gridCol w:w="2943"/>
        <w:gridCol w:w="3402"/>
        <w:gridCol w:w="3436"/>
      </w:tblGrid>
      <w:tr w:rsidR="00C03EC4" w:rsidRPr="002E75D4" w14:paraId="39ED3A24" w14:textId="77777777" w:rsidTr="000D6136">
        <w:trPr>
          <w:cnfStyle w:val="100000000000" w:firstRow="1" w:lastRow="0" w:firstColumn="0" w:lastColumn="0" w:oddVBand="0" w:evenVBand="0" w:oddHBand="0" w:evenHBand="0" w:firstRowFirstColumn="0" w:firstRowLastColumn="0" w:lastRowFirstColumn="0" w:lastRowLastColumn="0"/>
          <w:trHeight w:val="430"/>
        </w:trPr>
        <w:tc>
          <w:tcPr>
            <w:tcW w:w="2943" w:type="dxa"/>
            <w:vMerge w:val="restart"/>
            <w:shd w:val="clear" w:color="auto" w:fill="000000" w:themeFill="text1"/>
            <w:noWrap/>
          </w:tcPr>
          <w:p w14:paraId="29F6D6E1" w14:textId="77777777" w:rsidR="00C03EC4" w:rsidRPr="002E75D4" w:rsidRDefault="00C03EC4" w:rsidP="000D6136">
            <w:pPr>
              <w:ind w:hanging="75"/>
              <w:rPr>
                <w:rFonts w:asciiTheme="majorHAnsi" w:hAnsiTheme="majorHAnsi" w:cstheme="majorHAnsi"/>
                <w:color w:val="auto"/>
              </w:rPr>
            </w:pPr>
            <w:r w:rsidRPr="002E75D4">
              <w:rPr>
                <w:rFonts w:asciiTheme="majorHAnsi" w:hAnsiTheme="majorHAnsi" w:cstheme="majorHAnsi"/>
                <w:color w:val="auto"/>
              </w:rPr>
              <w:t>Années</w:t>
            </w:r>
          </w:p>
        </w:tc>
        <w:tc>
          <w:tcPr>
            <w:tcW w:w="6838" w:type="dxa"/>
            <w:gridSpan w:val="2"/>
            <w:shd w:val="clear" w:color="auto" w:fill="C00000"/>
            <w:noWrap/>
          </w:tcPr>
          <w:p w14:paraId="7D9E3892" w14:textId="77777777" w:rsidR="00C03EC4" w:rsidRPr="002E75D4" w:rsidRDefault="00C03EC4" w:rsidP="000D6136">
            <w:pPr>
              <w:ind w:hanging="74"/>
              <w:rPr>
                <w:rFonts w:asciiTheme="majorHAnsi" w:hAnsiTheme="majorHAnsi" w:cstheme="majorHAnsi"/>
                <w:color w:val="auto"/>
              </w:rPr>
            </w:pPr>
            <w:r w:rsidRPr="002E75D4">
              <w:rPr>
                <w:rFonts w:asciiTheme="majorHAnsi" w:hAnsiTheme="majorHAnsi" w:cstheme="majorHAnsi"/>
                <w:color w:val="auto"/>
              </w:rPr>
              <w:t>Émission eq KTE-CO2</w:t>
            </w:r>
          </w:p>
        </w:tc>
      </w:tr>
      <w:tr w:rsidR="00C03EC4" w:rsidRPr="002E75D4" w14:paraId="469E64F2" w14:textId="77777777" w:rsidTr="000D6136">
        <w:trPr>
          <w:cnfStyle w:val="000000100000" w:firstRow="0" w:lastRow="0" w:firstColumn="0" w:lastColumn="0" w:oddVBand="0" w:evenVBand="0" w:oddHBand="1" w:evenHBand="0" w:firstRowFirstColumn="0" w:firstRowLastColumn="0" w:lastRowFirstColumn="0" w:lastRowLastColumn="0"/>
          <w:trHeight w:val="421"/>
        </w:trPr>
        <w:tc>
          <w:tcPr>
            <w:tcW w:w="2943" w:type="dxa"/>
            <w:vMerge/>
            <w:shd w:val="clear" w:color="auto" w:fill="000000" w:themeFill="text1"/>
            <w:noWrap/>
            <w:hideMark/>
          </w:tcPr>
          <w:p w14:paraId="5CDC4FB8" w14:textId="77777777" w:rsidR="00C03EC4" w:rsidRPr="002E75D4" w:rsidRDefault="00C03EC4" w:rsidP="000D6136">
            <w:pPr>
              <w:ind w:hanging="75"/>
              <w:rPr>
                <w:rFonts w:asciiTheme="majorHAnsi" w:hAnsiTheme="majorHAnsi" w:cstheme="majorHAnsi"/>
                <w:b/>
              </w:rPr>
            </w:pPr>
          </w:p>
        </w:tc>
        <w:tc>
          <w:tcPr>
            <w:tcW w:w="3402" w:type="dxa"/>
            <w:shd w:val="clear" w:color="auto" w:fill="002060"/>
            <w:noWrap/>
            <w:hideMark/>
          </w:tcPr>
          <w:p w14:paraId="0AEB1B1E" w14:textId="77777777" w:rsidR="00C03EC4" w:rsidRPr="002E75D4" w:rsidRDefault="00C03EC4" w:rsidP="000D6136">
            <w:pPr>
              <w:ind w:hanging="75"/>
              <w:rPr>
                <w:rFonts w:asciiTheme="majorHAnsi" w:hAnsiTheme="majorHAnsi" w:cstheme="majorHAnsi"/>
                <w:b/>
              </w:rPr>
            </w:pPr>
            <w:r w:rsidRPr="002E75D4">
              <w:rPr>
                <w:rFonts w:asciiTheme="majorHAnsi" w:hAnsiTheme="majorHAnsi" w:cstheme="majorHAnsi"/>
                <w:b/>
              </w:rPr>
              <w:t>Scénario de base</w:t>
            </w:r>
          </w:p>
        </w:tc>
        <w:tc>
          <w:tcPr>
            <w:tcW w:w="3436" w:type="dxa"/>
            <w:shd w:val="clear" w:color="auto" w:fill="BF8F00" w:themeFill="accent4" w:themeFillShade="BF"/>
            <w:noWrap/>
            <w:hideMark/>
          </w:tcPr>
          <w:p w14:paraId="787BF622" w14:textId="77777777" w:rsidR="00C03EC4" w:rsidRPr="002E75D4" w:rsidRDefault="00C03EC4" w:rsidP="000D6136">
            <w:pPr>
              <w:ind w:hanging="75"/>
              <w:rPr>
                <w:rFonts w:asciiTheme="majorHAnsi" w:hAnsiTheme="majorHAnsi" w:cstheme="majorHAnsi"/>
                <w:b/>
              </w:rPr>
            </w:pPr>
            <w:r w:rsidRPr="002E75D4">
              <w:rPr>
                <w:rFonts w:asciiTheme="majorHAnsi" w:hAnsiTheme="majorHAnsi" w:cstheme="majorHAnsi"/>
                <w:b/>
              </w:rPr>
              <w:t>Scénario d’atténuation</w:t>
            </w:r>
          </w:p>
        </w:tc>
      </w:tr>
      <w:tr w:rsidR="00C03EC4" w:rsidRPr="002E75D4" w14:paraId="5C8086E9" w14:textId="77777777" w:rsidTr="000D6136">
        <w:trPr>
          <w:trHeight w:val="317"/>
        </w:trPr>
        <w:tc>
          <w:tcPr>
            <w:tcW w:w="2943" w:type="dxa"/>
            <w:shd w:val="clear" w:color="auto" w:fill="F2F2F2" w:themeFill="background1" w:themeFillShade="F2"/>
            <w:noWrap/>
            <w:hideMark/>
          </w:tcPr>
          <w:p w14:paraId="459375A6"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2019</w:t>
            </w:r>
          </w:p>
        </w:tc>
        <w:tc>
          <w:tcPr>
            <w:tcW w:w="3402" w:type="dxa"/>
            <w:noWrap/>
            <w:hideMark/>
          </w:tcPr>
          <w:p w14:paraId="4515440F"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20 331</w:t>
            </w:r>
          </w:p>
        </w:tc>
        <w:tc>
          <w:tcPr>
            <w:tcW w:w="3436" w:type="dxa"/>
            <w:shd w:val="clear" w:color="auto" w:fill="FFF2CC" w:themeFill="accent4" w:themeFillTint="33"/>
            <w:noWrap/>
            <w:hideMark/>
          </w:tcPr>
          <w:p w14:paraId="5BE0DCB9"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20 331</w:t>
            </w:r>
          </w:p>
        </w:tc>
      </w:tr>
      <w:tr w:rsidR="00C03EC4" w:rsidRPr="002E75D4" w14:paraId="17D2313E" w14:textId="77777777" w:rsidTr="000D6136">
        <w:trPr>
          <w:cnfStyle w:val="000000100000" w:firstRow="0" w:lastRow="0" w:firstColumn="0" w:lastColumn="0" w:oddVBand="0" w:evenVBand="0" w:oddHBand="1" w:evenHBand="0" w:firstRowFirstColumn="0" w:firstRowLastColumn="0" w:lastRowFirstColumn="0" w:lastRowLastColumn="0"/>
          <w:trHeight w:val="317"/>
        </w:trPr>
        <w:tc>
          <w:tcPr>
            <w:tcW w:w="2943" w:type="dxa"/>
            <w:shd w:val="clear" w:color="auto" w:fill="D9D9D9" w:themeFill="background1" w:themeFillShade="D9"/>
            <w:noWrap/>
            <w:hideMark/>
          </w:tcPr>
          <w:p w14:paraId="49C49374"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2020</w:t>
            </w:r>
          </w:p>
        </w:tc>
        <w:tc>
          <w:tcPr>
            <w:tcW w:w="3402" w:type="dxa"/>
            <w:noWrap/>
            <w:hideMark/>
          </w:tcPr>
          <w:p w14:paraId="155997D1"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21 550</w:t>
            </w:r>
          </w:p>
        </w:tc>
        <w:tc>
          <w:tcPr>
            <w:tcW w:w="3436" w:type="dxa"/>
            <w:shd w:val="clear" w:color="auto" w:fill="FFE599" w:themeFill="accent4" w:themeFillTint="66"/>
            <w:noWrap/>
            <w:hideMark/>
          </w:tcPr>
          <w:p w14:paraId="2921FC20"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21 550</w:t>
            </w:r>
          </w:p>
        </w:tc>
      </w:tr>
      <w:tr w:rsidR="00C03EC4" w:rsidRPr="002E75D4" w14:paraId="2358CB7D" w14:textId="77777777" w:rsidTr="000D6136">
        <w:trPr>
          <w:trHeight w:val="317"/>
        </w:trPr>
        <w:tc>
          <w:tcPr>
            <w:tcW w:w="2943" w:type="dxa"/>
            <w:shd w:val="clear" w:color="auto" w:fill="F2F2F2" w:themeFill="background1" w:themeFillShade="F2"/>
            <w:noWrap/>
            <w:hideMark/>
          </w:tcPr>
          <w:p w14:paraId="75B7D44A"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2021</w:t>
            </w:r>
          </w:p>
        </w:tc>
        <w:tc>
          <w:tcPr>
            <w:tcW w:w="3402" w:type="dxa"/>
            <w:noWrap/>
            <w:hideMark/>
          </w:tcPr>
          <w:p w14:paraId="285800A3"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22 844</w:t>
            </w:r>
          </w:p>
        </w:tc>
        <w:tc>
          <w:tcPr>
            <w:tcW w:w="3436" w:type="dxa"/>
            <w:shd w:val="clear" w:color="auto" w:fill="FFF2CC" w:themeFill="accent4" w:themeFillTint="33"/>
            <w:noWrap/>
            <w:hideMark/>
          </w:tcPr>
          <w:p w14:paraId="531D3A77"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18 086</w:t>
            </w:r>
          </w:p>
        </w:tc>
      </w:tr>
      <w:tr w:rsidR="00C03EC4" w:rsidRPr="002E75D4" w14:paraId="260D1CAF" w14:textId="77777777" w:rsidTr="000D6136">
        <w:trPr>
          <w:cnfStyle w:val="000000100000" w:firstRow="0" w:lastRow="0" w:firstColumn="0" w:lastColumn="0" w:oddVBand="0" w:evenVBand="0" w:oddHBand="1" w:evenHBand="0" w:firstRowFirstColumn="0" w:firstRowLastColumn="0" w:lastRowFirstColumn="0" w:lastRowLastColumn="0"/>
          <w:trHeight w:val="317"/>
        </w:trPr>
        <w:tc>
          <w:tcPr>
            <w:tcW w:w="2943" w:type="dxa"/>
            <w:shd w:val="clear" w:color="auto" w:fill="D9D9D9" w:themeFill="background1" w:themeFillShade="D9"/>
            <w:noWrap/>
            <w:hideMark/>
          </w:tcPr>
          <w:p w14:paraId="20832F3D"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2022</w:t>
            </w:r>
          </w:p>
        </w:tc>
        <w:tc>
          <w:tcPr>
            <w:tcW w:w="3402" w:type="dxa"/>
            <w:noWrap/>
            <w:hideMark/>
          </w:tcPr>
          <w:p w14:paraId="63B7ECCF"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24 214</w:t>
            </w:r>
          </w:p>
        </w:tc>
        <w:tc>
          <w:tcPr>
            <w:tcW w:w="3436" w:type="dxa"/>
            <w:shd w:val="clear" w:color="auto" w:fill="FFE599" w:themeFill="accent4" w:themeFillTint="66"/>
            <w:noWrap/>
            <w:hideMark/>
          </w:tcPr>
          <w:p w14:paraId="22049D23"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19 091</w:t>
            </w:r>
          </w:p>
        </w:tc>
      </w:tr>
      <w:tr w:rsidR="00C03EC4" w:rsidRPr="002E75D4" w14:paraId="137626A5" w14:textId="77777777" w:rsidTr="000D6136">
        <w:trPr>
          <w:trHeight w:val="317"/>
        </w:trPr>
        <w:tc>
          <w:tcPr>
            <w:tcW w:w="2943" w:type="dxa"/>
            <w:shd w:val="clear" w:color="auto" w:fill="F2F2F2" w:themeFill="background1" w:themeFillShade="F2"/>
            <w:noWrap/>
            <w:hideMark/>
          </w:tcPr>
          <w:p w14:paraId="60123EAA"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2023</w:t>
            </w:r>
          </w:p>
        </w:tc>
        <w:tc>
          <w:tcPr>
            <w:tcW w:w="3402" w:type="dxa"/>
            <w:noWrap/>
            <w:hideMark/>
          </w:tcPr>
          <w:p w14:paraId="36FAD879"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25 667</w:t>
            </w:r>
          </w:p>
        </w:tc>
        <w:tc>
          <w:tcPr>
            <w:tcW w:w="3436" w:type="dxa"/>
            <w:shd w:val="clear" w:color="auto" w:fill="FFF2CC" w:themeFill="accent4" w:themeFillTint="33"/>
            <w:noWrap/>
            <w:hideMark/>
          </w:tcPr>
          <w:p w14:paraId="504F7631"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19 629</w:t>
            </w:r>
          </w:p>
        </w:tc>
      </w:tr>
      <w:tr w:rsidR="00C03EC4" w:rsidRPr="002E75D4" w14:paraId="1D6455DF" w14:textId="77777777" w:rsidTr="000D6136">
        <w:trPr>
          <w:cnfStyle w:val="000000100000" w:firstRow="0" w:lastRow="0" w:firstColumn="0" w:lastColumn="0" w:oddVBand="0" w:evenVBand="0" w:oddHBand="1" w:evenHBand="0" w:firstRowFirstColumn="0" w:firstRowLastColumn="0" w:lastRowFirstColumn="0" w:lastRowLastColumn="0"/>
          <w:trHeight w:val="317"/>
        </w:trPr>
        <w:tc>
          <w:tcPr>
            <w:tcW w:w="2943" w:type="dxa"/>
            <w:shd w:val="clear" w:color="auto" w:fill="D9D9D9" w:themeFill="background1" w:themeFillShade="D9"/>
            <w:noWrap/>
            <w:hideMark/>
          </w:tcPr>
          <w:p w14:paraId="36B5508C"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2024</w:t>
            </w:r>
          </w:p>
        </w:tc>
        <w:tc>
          <w:tcPr>
            <w:tcW w:w="3402" w:type="dxa"/>
            <w:noWrap/>
            <w:hideMark/>
          </w:tcPr>
          <w:p w14:paraId="64DFE512"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27 207</w:t>
            </w:r>
          </w:p>
        </w:tc>
        <w:tc>
          <w:tcPr>
            <w:tcW w:w="3436" w:type="dxa"/>
            <w:shd w:val="clear" w:color="auto" w:fill="FFE599" w:themeFill="accent4" w:themeFillTint="66"/>
            <w:noWrap/>
            <w:hideMark/>
          </w:tcPr>
          <w:p w14:paraId="7C63D80D"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20 152</w:t>
            </w:r>
          </w:p>
        </w:tc>
      </w:tr>
      <w:tr w:rsidR="00C03EC4" w:rsidRPr="002E75D4" w14:paraId="52812EE7" w14:textId="77777777" w:rsidTr="000D6136">
        <w:trPr>
          <w:trHeight w:val="317"/>
        </w:trPr>
        <w:tc>
          <w:tcPr>
            <w:tcW w:w="2943" w:type="dxa"/>
            <w:shd w:val="clear" w:color="auto" w:fill="F2F2F2" w:themeFill="background1" w:themeFillShade="F2"/>
            <w:noWrap/>
            <w:hideMark/>
          </w:tcPr>
          <w:p w14:paraId="2D3F1C43"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2025</w:t>
            </w:r>
          </w:p>
        </w:tc>
        <w:tc>
          <w:tcPr>
            <w:tcW w:w="3402" w:type="dxa"/>
            <w:noWrap/>
            <w:hideMark/>
          </w:tcPr>
          <w:p w14:paraId="692BFE6B"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28 839</w:t>
            </w:r>
          </w:p>
        </w:tc>
        <w:tc>
          <w:tcPr>
            <w:tcW w:w="3436" w:type="dxa"/>
            <w:shd w:val="clear" w:color="auto" w:fill="FFF2CC" w:themeFill="accent4" w:themeFillTint="33"/>
            <w:noWrap/>
            <w:hideMark/>
          </w:tcPr>
          <w:p w14:paraId="57CC4508"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21 235</w:t>
            </w:r>
          </w:p>
        </w:tc>
      </w:tr>
      <w:tr w:rsidR="00C03EC4" w:rsidRPr="002E75D4" w14:paraId="5BF61822" w14:textId="77777777" w:rsidTr="000D6136">
        <w:trPr>
          <w:cnfStyle w:val="000000100000" w:firstRow="0" w:lastRow="0" w:firstColumn="0" w:lastColumn="0" w:oddVBand="0" w:evenVBand="0" w:oddHBand="1" w:evenHBand="0" w:firstRowFirstColumn="0" w:firstRowLastColumn="0" w:lastRowFirstColumn="0" w:lastRowLastColumn="0"/>
          <w:trHeight w:val="317"/>
        </w:trPr>
        <w:tc>
          <w:tcPr>
            <w:tcW w:w="2943" w:type="dxa"/>
            <w:shd w:val="clear" w:color="auto" w:fill="D9D9D9" w:themeFill="background1" w:themeFillShade="D9"/>
            <w:noWrap/>
            <w:hideMark/>
          </w:tcPr>
          <w:p w14:paraId="40F13C71"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2026</w:t>
            </w:r>
          </w:p>
        </w:tc>
        <w:tc>
          <w:tcPr>
            <w:tcW w:w="3402" w:type="dxa"/>
            <w:noWrap/>
            <w:hideMark/>
          </w:tcPr>
          <w:p w14:paraId="01A8A3CE"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30 570</w:t>
            </w:r>
          </w:p>
        </w:tc>
        <w:tc>
          <w:tcPr>
            <w:tcW w:w="3436" w:type="dxa"/>
            <w:shd w:val="clear" w:color="auto" w:fill="FFE599" w:themeFill="accent4" w:themeFillTint="66"/>
            <w:noWrap/>
            <w:hideMark/>
          </w:tcPr>
          <w:p w14:paraId="3DA0C6C4"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20 837</w:t>
            </w:r>
          </w:p>
        </w:tc>
      </w:tr>
      <w:tr w:rsidR="00C03EC4" w:rsidRPr="002E75D4" w14:paraId="7E742045" w14:textId="77777777" w:rsidTr="000D6136">
        <w:trPr>
          <w:trHeight w:val="317"/>
        </w:trPr>
        <w:tc>
          <w:tcPr>
            <w:tcW w:w="2943" w:type="dxa"/>
            <w:shd w:val="clear" w:color="auto" w:fill="F2F2F2" w:themeFill="background1" w:themeFillShade="F2"/>
            <w:noWrap/>
            <w:hideMark/>
          </w:tcPr>
          <w:p w14:paraId="0B08A7DF"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2027</w:t>
            </w:r>
          </w:p>
        </w:tc>
        <w:tc>
          <w:tcPr>
            <w:tcW w:w="3402" w:type="dxa"/>
            <w:noWrap/>
            <w:hideMark/>
          </w:tcPr>
          <w:p w14:paraId="661CCF7B"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32 404</w:t>
            </w:r>
          </w:p>
        </w:tc>
        <w:tc>
          <w:tcPr>
            <w:tcW w:w="3436" w:type="dxa"/>
            <w:shd w:val="clear" w:color="auto" w:fill="FFF2CC" w:themeFill="accent4" w:themeFillTint="33"/>
            <w:noWrap/>
            <w:hideMark/>
          </w:tcPr>
          <w:p w14:paraId="7A5087BC"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22 574</w:t>
            </w:r>
          </w:p>
        </w:tc>
      </w:tr>
      <w:tr w:rsidR="00C03EC4" w:rsidRPr="002E75D4" w14:paraId="3A580BE7" w14:textId="77777777" w:rsidTr="000D6136">
        <w:trPr>
          <w:cnfStyle w:val="000000100000" w:firstRow="0" w:lastRow="0" w:firstColumn="0" w:lastColumn="0" w:oddVBand="0" w:evenVBand="0" w:oddHBand="1" w:evenHBand="0" w:firstRowFirstColumn="0" w:firstRowLastColumn="0" w:lastRowFirstColumn="0" w:lastRowLastColumn="0"/>
          <w:trHeight w:val="317"/>
        </w:trPr>
        <w:tc>
          <w:tcPr>
            <w:tcW w:w="2943" w:type="dxa"/>
            <w:shd w:val="clear" w:color="auto" w:fill="D9D9D9" w:themeFill="background1" w:themeFillShade="D9"/>
            <w:noWrap/>
            <w:hideMark/>
          </w:tcPr>
          <w:p w14:paraId="4806E356"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2028</w:t>
            </w:r>
          </w:p>
        </w:tc>
        <w:tc>
          <w:tcPr>
            <w:tcW w:w="3402" w:type="dxa"/>
            <w:noWrap/>
            <w:hideMark/>
          </w:tcPr>
          <w:p w14:paraId="4B4C4637"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34 348</w:t>
            </w:r>
          </w:p>
        </w:tc>
        <w:tc>
          <w:tcPr>
            <w:tcW w:w="3436" w:type="dxa"/>
            <w:shd w:val="clear" w:color="auto" w:fill="FFE599" w:themeFill="accent4" w:themeFillTint="66"/>
            <w:noWrap/>
            <w:hideMark/>
          </w:tcPr>
          <w:p w14:paraId="482E7C01"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22 029</w:t>
            </w:r>
          </w:p>
        </w:tc>
      </w:tr>
      <w:tr w:rsidR="00C03EC4" w:rsidRPr="002E75D4" w14:paraId="151BD3AE" w14:textId="77777777" w:rsidTr="000D6136">
        <w:trPr>
          <w:trHeight w:val="317"/>
        </w:trPr>
        <w:tc>
          <w:tcPr>
            <w:tcW w:w="2943" w:type="dxa"/>
            <w:tcBorders>
              <w:bottom w:val="single" w:sz="8" w:space="0" w:color="FFFFFF" w:themeColor="background1"/>
            </w:tcBorders>
            <w:shd w:val="clear" w:color="auto" w:fill="F2F2F2" w:themeFill="background1" w:themeFillShade="F2"/>
            <w:noWrap/>
            <w:hideMark/>
          </w:tcPr>
          <w:p w14:paraId="5ECD7914"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2029</w:t>
            </w:r>
          </w:p>
        </w:tc>
        <w:tc>
          <w:tcPr>
            <w:tcW w:w="3402" w:type="dxa"/>
            <w:tcBorders>
              <w:bottom w:val="single" w:sz="8" w:space="0" w:color="FFFFFF" w:themeColor="background1"/>
            </w:tcBorders>
            <w:noWrap/>
            <w:hideMark/>
          </w:tcPr>
          <w:p w14:paraId="0BAADE25"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36 409</w:t>
            </w:r>
          </w:p>
        </w:tc>
        <w:tc>
          <w:tcPr>
            <w:tcW w:w="3436" w:type="dxa"/>
            <w:tcBorders>
              <w:bottom w:val="single" w:sz="8" w:space="0" w:color="FFFFFF" w:themeColor="background1"/>
            </w:tcBorders>
            <w:shd w:val="clear" w:color="auto" w:fill="FFF2CC" w:themeFill="accent4" w:themeFillTint="33"/>
            <w:noWrap/>
            <w:hideMark/>
          </w:tcPr>
          <w:p w14:paraId="3518D7CE"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24 241</w:t>
            </w:r>
          </w:p>
        </w:tc>
      </w:tr>
      <w:tr w:rsidR="00C03EC4" w:rsidRPr="002E75D4" w14:paraId="1256B9F0" w14:textId="77777777" w:rsidTr="000D6136">
        <w:trPr>
          <w:cnfStyle w:val="000000100000" w:firstRow="0" w:lastRow="0" w:firstColumn="0" w:lastColumn="0" w:oddVBand="0" w:evenVBand="0" w:oddHBand="1" w:evenHBand="0" w:firstRowFirstColumn="0" w:firstRowLastColumn="0" w:lastRowFirstColumn="0" w:lastRowLastColumn="0"/>
          <w:trHeight w:val="317"/>
        </w:trPr>
        <w:tc>
          <w:tcPr>
            <w:tcW w:w="2943" w:type="dxa"/>
            <w:tcBorders>
              <w:bottom w:val="single" w:sz="2" w:space="0" w:color="FFFFFF" w:themeColor="background1"/>
            </w:tcBorders>
            <w:shd w:val="clear" w:color="auto" w:fill="D9D9D9" w:themeFill="background1" w:themeFillShade="D9"/>
            <w:noWrap/>
            <w:hideMark/>
          </w:tcPr>
          <w:p w14:paraId="67946584"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2030</w:t>
            </w:r>
          </w:p>
        </w:tc>
        <w:tc>
          <w:tcPr>
            <w:tcW w:w="3402" w:type="dxa"/>
            <w:tcBorders>
              <w:bottom w:val="single" w:sz="2" w:space="0" w:color="FFFFFF" w:themeColor="background1"/>
            </w:tcBorders>
            <w:noWrap/>
            <w:hideMark/>
          </w:tcPr>
          <w:p w14:paraId="430778B5"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38 594</w:t>
            </w:r>
          </w:p>
        </w:tc>
        <w:tc>
          <w:tcPr>
            <w:tcW w:w="3436" w:type="dxa"/>
            <w:tcBorders>
              <w:bottom w:val="single" w:sz="2" w:space="0" w:color="FFFFFF" w:themeColor="background1"/>
            </w:tcBorders>
            <w:shd w:val="clear" w:color="auto" w:fill="FFE599" w:themeFill="accent4" w:themeFillTint="66"/>
            <w:noWrap/>
            <w:hideMark/>
          </w:tcPr>
          <w:p w14:paraId="10AE85FB" w14:textId="77777777" w:rsidR="00C03EC4" w:rsidRPr="002E75D4" w:rsidRDefault="00C03EC4" w:rsidP="000D6136">
            <w:pPr>
              <w:ind w:hanging="75"/>
              <w:rPr>
                <w:rFonts w:asciiTheme="majorHAnsi" w:hAnsiTheme="majorHAnsi" w:cstheme="majorHAnsi"/>
              </w:rPr>
            </w:pPr>
            <w:r w:rsidRPr="002E75D4">
              <w:rPr>
                <w:rFonts w:asciiTheme="majorHAnsi" w:hAnsiTheme="majorHAnsi" w:cstheme="majorHAnsi"/>
              </w:rPr>
              <w:t>26 630</w:t>
            </w:r>
          </w:p>
        </w:tc>
      </w:tr>
    </w:tbl>
    <w:p w14:paraId="2427F82B" w14:textId="77777777" w:rsidR="00C03EC4" w:rsidRPr="002E75D4" w:rsidRDefault="00C03EC4" w:rsidP="00C03EC4">
      <w:pPr>
        <w:spacing w:after="0" w:line="240" w:lineRule="auto"/>
        <w:jc w:val="both"/>
        <w:rPr>
          <w:rFonts w:asciiTheme="majorHAnsi" w:eastAsia="Calibri" w:hAnsiTheme="majorHAnsi" w:cstheme="majorHAnsi"/>
          <w:sz w:val="24"/>
        </w:rPr>
      </w:pPr>
    </w:p>
    <w:p w14:paraId="2C684424" w14:textId="77777777" w:rsidR="00C03EC4" w:rsidRPr="002E75D4" w:rsidRDefault="00C03EC4" w:rsidP="00C03EC4">
      <w:pPr>
        <w:spacing w:after="0" w:line="240" w:lineRule="auto"/>
        <w:jc w:val="both"/>
        <w:rPr>
          <w:rFonts w:asciiTheme="majorHAnsi" w:eastAsia="Calibri" w:hAnsiTheme="majorHAnsi" w:cstheme="majorHAnsi"/>
          <w:sz w:val="24"/>
        </w:rPr>
      </w:pPr>
      <w:r w:rsidRPr="002E75D4">
        <w:rPr>
          <w:rFonts w:asciiTheme="majorHAnsi" w:eastAsia="Calibri" w:hAnsiTheme="majorHAnsi" w:cstheme="majorHAnsi"/>
        </w:rPr>
        <w:t>La figure11 suivante illustre ces émissions et permet de comparer les dynamiques des scénarios de base et d’atténuation</w:t>
      </w:r>
      <w:r w:rsidRPr="002E75D4">
        <w:rPr>
          <w:rFonts w:asciiTheme="majorHAnsi" w:eastAsia="Calibri" w:hAnsiTheme="majorHAnsi" w:cstheme="majorHAnsi"/>
          <w:sz w:val="24"/>
        </w:rPr>
        <w:t>.</w:t>
      </w:r>
    </w:p>
    <w:p w14:paraId="370AED99" w14:textId="77777777" w:rsidR="00C03EC4" w:rsidRPr="002E75D4" w:rsidRDefault="00C03EC4" w:rsidP="00C03EC4">
      <w:pPr>
        <w:spacing w:after="0" w:line="240" w:lineRule="auto"/>
        <w:jc w:val="both"/>
        <w:rPr>
          <w:rFonts w:asciiTheme="majorHAnsi" w:eastAsia="Calibri" w:hAnsiTheme="majorHAnsi" w:cstheme="majorHAnsi"/>
          <w:sz w:val="24"/>
        </w:rPr>
      </w:pPr>
    </w:p>
    <w:p w14:paraId="3949DC3A" w14:textId="77777777" w:rsidR="00C03EC4" w:rsidRPr="002E75D4" w:rsidRDefault="00C03EC4" w:rsidP="00C03EC4">
      <w:pPr>
        <w:jc w:val="both"/>
        <w:rPr>
          <w:rFonts w:asciiTheme="majorHAnsi" w:hAnsiTheme="majorHAnsi" w:cstheme="majorHAnsi"/>
        </w:rPr>
      </w:pPr>
      <w:r w:rsidRPr="002E75D4">
        <w:rPr>
          <w:rFonts w:asciiTheme="majorHAnsi" w:hAnsiTheme="majorHAnsi" w:cstheme="majorHAnsi"/>
          <w:noProof/>
          <w:lang w:eastAsia="fr-FR"/>
        </w:rPr>
        <w:drawing>
          <wp:inline distT="0" distB="0" distL="0" distR="0" wp14:anchorId="24D89F12" wp14:editId="255B2E56">
            <wp:extent cx="6134637" cy="2790423"/>
            <wp:effectExtent l="0" t="0" r="19050" b="1016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926826" w14:textId="77777777" w:rsidR="00C03EC4" w:rsidRPr="002E75D4" w:rsidRDefault="00C03EC4" w:rsidP="00C03EC4">
      <w:pPr>
        <w:jc w:val="both"/>
        <w:rPr>
          <w:rFonts w:asciiTheme="majorHAnsi" w:hAnsiTheme="majorHAnsi" w:cstheme="majorHAnsi"/>
        </w:rPr>
      </w:pPr>
      <w:r w:rsidRPr="007C42D7">
        <w:rPr>
          <w:rFonts w:asciiTheme="majorHAnsi" w:hAnsiTheme="majorHAnsi" w:cstheme="majorHAnsi"/>
          <w:b/>
          <w:u w:val="single"/>
        </w:rPr>
        <w:t>Figure 11 :</w:t>
      </w:r>
      <w:r w:rsidRPr="002E75D4">
        <w:rPr>
          <w:rFonts w:asciiTheme="majorHAnsi" w:hAnsiTheme="majorHAnsi" w:cstheme="majorHAnsi"/>
        </w:rPr>
        <w:t xml:space="preserve"> Courbes des émissions des scénarios de base et d’atténuation pour la période 2018-2030</w:t>
      </w:r>
    </w:p>
    <w:p w14:paraId="48B253CB" w14:textId="77777777" w:rsidR="00C03EC4" w:rsidRPr="002E75D4" w:rsidRDefault="00C03EC4" w:rsidP="00C03EC4">
      <w:pPr>
        <w:pStyle w:val="Paragraphedeliste"/>
        <w:widowControl w:val="0"/>
        <w:autoSpaceDE w:val="0"/>
        <w:autoSpaceDN w:val="0"/>
        <w:adjustRightInd w:val="0"/>
        <w:spacing w:before="240" w:after="0" w:line="240" w:lineRule="auto"/>
        <w:ind w:left="0"/>
        <w:contextualSpacing w:val="0"/>
        <w:mirrorIndents/>
        <w:jc w:val="both"/>
        <w:rPr>
          <w:rFonts w:asciiTheme="majorHAnsi" w:hAnsiTheme="majorHAnsi" w:cstheme="majorHAnsi"/>
          <w:sz w:val="24"/>
          <w:szCs w:val="24"/>
        </w:rPr>
      </w:pPr>
      <w:r w:rsidRPr="002E75D4">
        <w:rPr>
          <w:rFonts w:asciiTheme="majorHAnsi" w:hAnsiTheme="majorHAnsi" w:cstheme="majorHAnsi"/>
          <w:sz w:val="24"/>
          <w:szCs w:val="24"/>
        </w:rPr>
        <w:t xml:space="preserve">Le scénario de base montre que les émissions de GES vont croître de </w:t>
      </w:r>
      <w:r w:rsidRPr="002E75D4">
        <w:rPr>
          <w:rFonts w:asciiTheme="majorHAnsi" w:hAnsiTheme="majorHAnsi" w:cstheme="majorHAnsi"/>
          <w:sz w:val="22"/>
        </w:rPr>
        <w:t xml:space="preserve">21 550 </w:t>
      </w:r>
      <w:r w:rsidRPr="002E75D4">
        <w:rPr>
          <w:rFonts w:asciiTheme="majorHAnsi" w:hAnsiTheme="majorHAnsi" w:cstheme="majorHAnsi"/>
          <w:sz w:val="24"/>
          <w:szCs w:val="24"/>
        </w:rPr>
        <w:t>kTéq CO</w:t>
      </w:r>
      <w:r w:rsidRPr="002E75D4">
        <w:rPr>
          <w:rFonts w:asciiTheme="majorHAnsi" w:hAnsiTheme="majorHAnsi" w:cstheme="majorHAnsi"/>
          <w:sz w:val="24"/>
          <w:szCs w:val="24"/>
          <w:vertAlign w:val="subscript"/>
        </w:rPr>
        <w:t>2</w:t>
      </w:r>
      <w:r w:rsidRPr="002E75D4">
        <w:rPr>
          <w:rFonts w:asciiTheme="majorHAnsi" w:hAnsiTheme="majorHAnsi" w:cstheme="majorHAnsi"/>
          <w:sz w:val="24"/>
          <w:szCs w:val="24"/>
        </w:rPr>
        <w:t xml:space="preserve"> en 2020 à </w:t>
      </w:r>
      <w:r w:rsidRPr="002E75D4">
        <w:rPr>
          <w:rFonts w:asciiTheme="majorHAnsi" w:hAnsiTheme="majorHAnsi" w:cstheme="majorHAnsi"/>
          <w:sz w:val="22"/>
        </w:rPr>
        <w:t xml:space="preserve">28 839 </w:t>
      </w:r>
      <w:r w:rsidRPr="002E75D4">
        <w:rPr>
          <w:rFonts w:asciiTheme="majorHAnsi" w:hAnsiTheme="majorHAnsi" w:cstheme="majorHAnsi"/>
          <w:sz w:val="24"/>
          <w:szCs w:val="24"/>
        </w:rPr>
        <w:t>kTéq</w:t>
      </w:r>
      <w:r w:rsidRPr="002E75D4">
        <w:rPr>
          <w:rFonts w:asciiTheme="majorHAnsi" w:hAnsiTheme="majorHAnsi" w:cstheme="majorHAnsi"/>
          <w:szCs w:val="24"/>
        </w:rPr>
        <w:t xml:space="preserve"> CO</w:t>
      </w:r>
      <w:r w:rsidRPr="002E75D4">
        <w:rPr>
          <w:rFonts w:asciiTheme="majorHAnsi" w:hAnsiTheme="majorHAnsi" w:cstheme="majorHAnsi"/>
          <w:szCs w:val="24"/>
          <w:vertAlign w:val="subscript"/>
        </w:rPr>
        <w:t>2</w:t>
      </w:r>
      <w:r w:rsidRPr="002E75D4">
        <w:rPr>
          <w:rFonts w:asciiTheme="majorHAnsi" w:hAnsiTheme="majorHAnsi" w:cstheme="majorHAnsi"/>
          <w:szCs w:val="24"/>
        </w:rPr>
        <w:t xml:space="preserve"> </w:t>
      </w:r>
      <w:r w:rsidRPr="002E75D4">
        <w:rPr>
          <w:rFonts w:asciiTheme="majorHAnsi" w:hAnsiTheme="majorHAnsi" w:cstheme="majorHAnsi"/>
          <w:sz w:val="24"/>
          <w:szCs w:val="24"/>
        </w:rPr>
        <w:t xml:space="preserve">en 2025 pour atteindre </w:t>
      </w:r>
      <w:r w:rsidRPr="002E75D4">
        <w:rPr>
          <w:rFonts w:asciiTheme="majorHAnsi" w:hAnsiTheme="majorHAnsi" w:cstheme="majorHAnsi"/>
          <w:sz w:val="24"/>
        </w:rPr>
        <w:t>38 594</w:t>
      </w:r>
      <w:r w:rsidRPr="002E75D4">
        <w:rPr>
          <w:rFonts w:asciiTheme="majorHAnsi" w:hAnsiTheme="majorHAnsi" w:cstheme="majorHAnsi"/>
          <w:sz w:val="32"/>
          <w:szCs w:val="24"/>
        </w:rPr>
        <w:t xml:space="preserve"> </w:t>
      </w:r>
      <w:r w:rsidRPr="002E75D4">
        <w:rPr>
          <w:rFonts w:asciiTheme="majorHAnsi" w:hAnsiTheme="majorHAnsi" w:cstheme="majorHAnsi"/>
          <w:sz w:val="24"/>
          <w:szCs w:val="24"/>
        </w:rPr>
        <w:t>kTéq CO</w:t>
      </w:r>
      <w:r w:rsidRPr="002E75D4">
        <w:rPr>
          <w:rFonts w:asciiTheme="majorHAnsi" w:hAnsiTheme="majorHAnsi" w:cstheme="majorHAnsi"/>
          <w:sz w:val="24"/>
          <w:szCs w:val="24"/>
          <w:vertAlign w:val="subscript"/>
        </w:rPr>
        <w:t>2</w:t>
      </w:r>
      <w:r w:rsidRPr="002E75D4">
        <w:rPr>
          <w:rFonts w:asciiTheme="majorHAnsi" w:hAnsiTheme="majorHAnsi" w:cstheme="majorHAnsi"/>
          <w:sz w:val="24"/>
          <w:szCs w:val="24"/>
        </w:rPr>
        <w:t xml:space="preserve"> en 2030. Cela donne un accroissement moyen annuel de 6% entre 2015 et 2030.</w:t>
      </w:r>
    </w:p>
    <w:p w14:paraId="7C45725A" w14:textId="77777777" w:rsidR="00C03EC4" w:rsidRPr="002E75D4" w:rsidRDefault="00C03EC4" w:rsidP="00C03EC4">
      <w:pPr>
        <w:pStyle w:val="Paragraphedeliste"/>
        <w:widowControl w:val="0"/>
        <w:autoSpaceDE w:val="0"/>
        <w:autoSpaceDN w:val="0"/>
        <w:adjustRightInd w:val="0"/>
        <w:spacing w:after="0" w:line="240" w:lineRule="auto"/>
        <w:ind w:left="0"/>
        <w:contextualSpacing w:val="0"/>
        <w:mirrorIndents/>
        <w:jc w:val="both"/>
        <w:rPr>
          <w:rFonts w:asciiTheme="majorHAnsi" w:hAnsiTheme="majorHAnsi" w:cstheme="majorHAnsi"/>
          <w:sz w:val="24"/>
          <w:szCs w:val="24"/>
        </w:rPr>
      </w:pPr>
    </w:p>
    <w:p w14:paraId="0F40DE36"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conséquences des mesures d’atténuation entre 2020 et 2030 permettront de rabaisser le niveau des émissions de </w:t>
      </w:r>
      <w:r w:rsidRPr="002E75D4">
        <w:rPr>
          <w:rFonts w:asciiTheme="majorHAnsi" w:hAnsiTheme="majorHAnsi" w:cstheme="majorHAnsi"/>
        </w:rPr>
        <w:t>28 839</w:t>
      </w:r>
      <w:r w:rsidRPr="002E75D4">
        <w:rPr>
          <w:rFonts w:asciiTheme="majorHAnsi" w:hAnsiTheme="majorHAnsi" w:cstheme="majorHAnsi"/>
          <w:sz w:val="24"/>
          <w:szCs w:val="24"/>
        </w:rPr>
        <w:t>kTéq CO</w:t>
      </w:r>
      <w:r w:rsidRPr="002E75D4">
        <w:rPr>
          <w:rFonts w:asciiTheme="majorHAnsi" w:hAnsiTheme="majorHAnsi" w:cstheme="majorHAnsi"/>
          <w:sz w:val="24"/>
          <w:szCs w:val="24"/>
          <w:vertAlign w:val="subscript"/>
        </w:rPr>
        <w:t>2</w:t>
      </w:r>
      <w:r w:rsidRPr="002E75D4">
        <w:rPr>
          <w:rFonts w:asciiTheme="majorHAnsi" w:hAnsiTheme="majorHAnsi" w:cstheme="majorHAnsi"/>
          <w:sz w:val="24"/>
          <w:szCs w:val="24"/>
        </w:rPr>
        <w:t xml:space="preserve"> à </w:t>
      </w:r>
      <w:r w:rsidRPr="002E75D4">
        <w:rPr>
          <w:rFonts w:asciiTheme="majorHAnsi" w:hAnsiTheme="majorHAnsi" w:cstheme="majorHAnsi"/>
        </w:rPr>
        <w:t>21 235</w:t>
      </w:r>
      <w:r w:rsidRPr="002E75D4">
        <w:rPr>
          <w:rFonts w:asciiTheme="majorHAnsi" w:hAnsiTheme="majorHAnsi" w:cstheme="majorHAnsi"/>
          <w:sz w:val="24"/>
          <w:szCs w:val="24"/>
        </w:rPr>
        <w:t xml:space="preserve"> kTéq CO</w:t>
      </w:r>
      <w:r w:rsidRPr="002E75D4">
        <w:rPr>
          <w:rFonts w:asciiTheme="majorHAnsi" w:hAnsiTheme="majorHAnsi" w:cstheme="majorHAnsi"/>
          <w:sz w:val="24"/>
          <w:szCs w:val="24"/>
          <w:vertAlign w:val="subscript"/>
        </w:rPr>
        <w:t>2</w:t>
      </w:r>
      <w:r w:rsidRPr="002E75D4">
        <w:rPr>
          <w:rFonts w:asciiTheme="majorHAnsi" w:hAnsiTheme="majorHAnsi" w:cstheme="majorHAnsi"/>
          <w:sz w:val="24"/>
          <w:szCs w:val="24"/>
        </w:rPr>
        <w:t xml:space="preserve"> en 2025(soit </w:t>
      </w:r>
      <w:r w:rsidRPr="002E75D4">
        <w:rPr>
          <w:rFonts w:asciiTheme="majorHAnsi" w:hAnsiTheme="majorHAnsi" w:cstheme="majorHAnsi"/>
        </w:rPr>
        <w:t>7 604 Ktéq</w:t>
      </w:r>
      <w:r w:rsidRPr="002E75D4">
        <w:rPr>
          <w:rFonts w:asciiTheme="majorHAnsi" w:hAnsiTheme="majorHAnsi" w:cstheme="majorHAnsi"/>
          <w:sz w:val="24"/>
          <w:szCs w:val="24"/>
        </w:rPr>
        <w:t xml:space="preserve">) et de </w:t>
      </w:r>
      <w:r w:rsidRPr="002E75D4">
        <w:rPr>
          <w:rFonts w:asciiTheme="majorHAnsi" w:hAnsiTheme="majorHAnsi" w:cstheme="majorHAnsi"/>
        </w:rPr>
        <w:t xml:space="preserve">38 594 </w:t>
      </w:r>
      <w:r w:rsidRPr="002E75D4">
        <w:rPr>
          <w:rFonts w:asciiTheme="majorHAnsi" w:hAnsiTheme="majorHAnsi" w:cstheme="majorHAnsi"/>
          <w:sz w:val="24"/>
          <w:szCs w:val="24"/>
        </w:rPr>
        <w:t>kTéq</w:t>
      </w:r>
      <w:r w:rsidRPr="002E75D4">
        <w:rPr>
          <w:rFonts w:asciiTheme="majorHAnsi" w:hAnsiTheme="majorHAnsi" w:cstheme="majorHAnsi"/>
        </w:rPr>
        <w:t xml:space="preserve"> </w:t>
      </w:r>
      <w:r w:rsidRPr="002E75D4">
        <w:rPr>
          <w:rFonts w:asciiTheme="majorHAnsi" w:hAnsiTheme="majorHAnsi" w:cstheme="majorHAnsi"/>
          <w:sz w:val="24"/>
          <w:szCs w:val="24"/>
        </w:rPr>
        <w:t xml:space="preserve">à </w:t>
      </w:r>
      <w:r w:rsidRPr="002E75D4">
        <w:rPr>
          <w:rFonts w:asciiTheme="majorHAnsi" w:hAnsiTheme="majorHAnsi" w:cstheme="majorHAnsi"/>
        </w:rPr>
        <w:t>26 630</w:t>
      </w:r>
      <w:r w:rsidRPr="002E75D4">
        <w:rPr>
          <w:rFonts w:asciiTheme="majorHAnsi" w:hAnsiTheme="majorHAnsi" w:cstheme="majorHAnsi"/>
          <w:sz w:val="24"/>
          <w:szCs w:val="24"/>
        </w:rPr>
        <w:t xml:space="preserve"> kTéq CO</w:t>
      </w:r>
      <w:r w:rsidRPr="002E75D4">
        <w:rPr>
          <w:rFonts w:asciiTheme="majorHAnsi" w:hAnsiTheme="majorHAnsi" w:cstheme="majorHAnsi"/>
          <w:sz w:val="24"/>
          <w:szCs w:val="24"/>
          <w:vertAlign w:val="subscript"/>
        </w:rPr>
        <w:t>2</w:t>
      </w:r>
      <w:r w:rsidRPr="002E75D4">
        <w:rPr>
          <w:rFonts w:asciiTheme="majorHAnsi" w:hAnsiTheme="majorHAnsi" w:cstheme="majorHAnsi"/>
          <w:sz w:val="24"/>
          <w:szCs w:val="24"/>
        </w:rPr>
        <w:t xml:space="preserve"> en 2030(soit </w:t>
      </w:r>
      <w:r w:rsidRPr="002E75D4">
        <w:rPr>
          <w:rFonts w:asciiTheme="majorHAnsi" w:hAnsiTheme="majorHAnsi" w:cstheme="majorHAnsi"/>
        </w:rPr>
        <w:t>11 964</w:t>
      </w:r>
      <w:r w:rsidRPr="002E75D4">
        <w:rPr>
          <w:rFonts w:asciiTheme="majorHAnsi" w:hAnsiTheme="majorHAnsi" w:cstheme="majorHAnsi"/>
          <w:sz w:val="24"/>
          <w:szCs w:val="24"/>
        </w:rPr>
        <w:t xml:space="preserve">Ktéq). </w:t>
      </w:r>
    </w:p>
    <w:p w14:paraId="4699664E"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Ainsi, par rapport au scénario de base, les émissions atteindront une baisse pour le scénario d’atténuation de 31% en 2030.</w:t>
      </w:r>
    </w:p>
    <w:p w14:paraId="05F68A04" w14:textId="77777777" w:rsidR="00C03EC4" w:rsidRPr="002E75D4" w:rsidRDefault="00C03EC4" w:rsidP="00C03EC4">
      <w:pPr>
        <w:widowControl w:val="0"/>
        <w:autoSpaceDE w:val="0"/>
        <w:autoSpaceDN w:val="0"/>
        <w:adjustRightInd w:val="0"/>
        <w:spacing w:before="120" w:after="0" w:line="240" w:lineRule="auto"/>
        <w:jc w:val="both"/>
        <w:rPr>
          <w:rFonts w:cstheme="minorHAnsi"/>
          <w:b/>
          <w:sz w:val="24"/>
          <w:szCs w:val="24"/>
        </w:rPr>
      </w:pPr>
      <w:r w:rsidRPr="002E75D4">
        <w:rPr>
          <w:rFonts w:cstheme="minorHAnsi"/>
          <w:b/>
          <w:sz w:val="24"/>
          <w:szCs w:val="24"/>
        </w:rPr>
        <w:t>Coût des mesures d’atténuation</w:t>
      </w:r>
    </w:p>
    <w:p w14:paraId="5E198076" w14:textId="77777777" w:rsidR="00C03EC4" w:rsidRPr="002E75D4" w:rsidRDefault="00C03EC4" w:rsidP="00C03EC4">
      <w:pPr>
        <w:widowControl w:val="0"/>
        <w:autoSpaceDE w:val="0"/>
        <w:autoSpaceDN w:val="0"/>
        <w:adjustRightInd w:val="0"/>
        <w:spacing w:before="120" w:after="0" w:line="240" w:lineRule="auto"/>
        <w:jc w:val="both"/>
        <w:rPr>
          <w:rStyle w:val="Accentuation"/>
          <w:rFonts w:asciiTheme="majorHAnsi" w:hAnsiTheme="majorHAnsi" w:cstheme="majorHAnsi"/>
          <w:b w:val="0"/>
          <w:bCs w:val="0"/>
          <w:i w:val="0"/>
          <w:iCs w:val="0"/>
          <w:spacing w:val="0"/>
          <w:sz w:val="24"/>
          <w:szCs w:val="24"/>
        </w:rPr>
      </w:pPr>
    </w:p>
    <w:tbl>
      <w:tblPr>
        <w:tblStyle w:val="Grillemoyenne3-Accent1"/>
        <w:tblW w:w="5000" w:type="pct"/>
        <w:tblLook w:val="0420" w:firstRow="1" w:lastRow="0" w:firstColumn="0" w:lastColumn="0" w:noHBand="0" w:noVBand="1"/>
      </w:tblPr>
      <w:tblGrid>
        <w:gridCol w:w="4677"/>
        <w:gridCol w:w="4942"/>
      </w:tblGrid>
      <w:tr w:rsidR="00C03EC4" w:rsidRPr="002E75D4" w14:paraId="2541A5B3" w14:textId="77777777" w:rsidTr="000D6136">
        <w:trPr>
          <w:cnfStyle w:val="100000000000" w:firstRow="1" w:lastRow="0" w:firstColumn="0" w:lastColumn="0" w:oddVBand="0" w:evenVBand="0" w:oddHBand="0" w:evenHBand="0" w:firstRowFirstColumn="0" w:firstRowLastColumn="0" w:lastRowFirstColumn="0" w:lastRowLastColumn="0"/>
          <w:trHeight w:val="300"/>
        </w:trPr>
        <w:tc>
          <w:tcPr>
            <w:tcW w:w="2431" w:type="pct"/>
            <w:shd w:val="clear" w:color="auto" w:fill="C00000"/>
          </w:tcPr>
          <w:p w14:paraId="136213E0" w14:textId="77777777" w:rsidR="00C03EC4" w:rsidRPr="002E75D4" w:rsidRDefault="00C03EC4" w:rsidP="000D6136">
            <w:pPr>
              <w:ind w:right="75"/>
              <w:rPr>
                <w:rFonts w:asciiTheme="majorHAnsi" w:hAnsiTheme="majorHAnsi" w:cstheme="majorHAnsi"/>
                <w:color w:val="auto"/>
              </w:rPr>
            </w:pPr>
            <w:r w:rsidRPr="002E75D4">
              <w:rPr>
                <w:rFonts w:asciiTheme="majorHAnsi" w:hAnsiTheme="majorHAnsi" w:cstheme="majorHAnsi"/>
                <w:color w:val="auto"/>
              </w:rPr>
              <w:t>Structures responsables des projets</w:t>
            </w:r>
          </w:p>
        </w:tc>
        <w:tc>
          <w:tcPr>
            <w:tcW w:w="2569" w:type="pct"/>
            <w:shd w:val="clear" w:color="auto" w:fill="002060"/>
            <w:noWrap/>
            <w:hideMark/>
          </w:tcPr>
          <w:p w14:paraId="34A12628" w14:textId="77777777" w:rsidR="00C03EC4" w:rsidRPr="002E75D4" w:rsidRDefault="00C03EC4" w:rsidP="000D6136">
            <w:pPr>
              <w:ind w:right="75"/>
              <w:rPr>
                <w:rFonts w:asciiTheme="majorHAnsi" w:hAnsiTheme="majorHAnsi" w:cstheme="majorHAnsi"/>
                <w:color w:val="auto"/>
              </w:rPr>
            </w:pPr>
            <w:r w:rsidRPr="002E75D4">
              <w:rPr>
                <w:rFonts w:asciiTheme="majorHAnsi" w:hAnsiTheme="majorHAnsi" w:cstheme="majorHAnsi"/>
                <w:color w:val="auto"/>
              </w:rPr>
              <w:t>Cout prévisionnel en milliards FCFA</w:t>
            </w:r>
          </w:p>
        </w:tc>
      </w:tr>
      <w:tr w:rsidR="00C03EC4" w:rsidRPr="002E75D4" w14:paraId="510DE1A1"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2431" w:type="pct"/>
            <w:shd w:val="clear" w:color="auto" w:fill="FFE1E1"/>
          </w:tcPr>
          <w:p w14:paraId="627E7D59" w14:textId="77777777" w:rsidR="00C03EC4" w:rsidRPr="002E75D4" w:rsidRDefault="00C03EC4" w:rsidP="000D6136">
            <w:pPr>
              <w:ind w:right="75"/>
              <w:jc w:val="left"/>
              <w:rPr>
                <w:rFonts w:asciiTheme="majorHAnsi" w:hAnsiTheme="majorHAnsi" w:cstheme="majorHAnsi"/>
              </w:rPr>
            </w:pPr>
            <w:r w:rsidRPr="002E75D4">
              <w:rPr>
                <w:rFonts w:asciiTheme="majorHAnsi" w:hAnsiTheme="majorHAnsi" w:cstheme="majorHAnsi"/>
              </w:rPr>
              <w:t>DNE</w:t>
            </w:r>
          </w:p>
        </w:tc>
        <w:tc>
          <w:tcPr>
            <w:tcW w:w="2569" w:type="pct"/>
            <w:noWrap/>
            <w:hideMark/>
          </w:tcPr>
          <w:p w14:paraId="299B9773" w14:textId="77777777" w:rsidR="00C03EC4" w:rsidRPr="002E75D4" w:rsidRDefault="00C03EC4" w:rsidP="000D6136">
            <w:pPr>
              <w:ind w:right="75"/>
              <w:jc w:val="right"/>
              <w:rPr>
                <w:rFonts w:asciiTheme="majorHAnsi" w:hAnsiTheme="majorHAnsi" w:cstheme="majorHAnsi"/>
              </w:rPr>
            </w:pPr>
            <w:r w:rsidRPr="002E75D4">
              <w:rPr>
                <w:rFonts w:asciiTheme="majorHAnsi" w:hAnsiTheme="majorHAnsi" w:cstheme="majorHAnsi"/>
              </w:rPr>
              <w:t>964</w:t>
            </w:r>
          </w:p>
        </w:tc>
      </w:tr>
      <w:tr w:rsidR="00C03EC4" w:rsidRPr="002E75D4" w14:paraId="7609B621" w14:textId="77777777" w:rsidTr="000D6136">
        <w:trPr>
          <w:trHeight w:val="300"/>
        </w:trPr>
        <w:tc>
          <w:tcPr>
            <w:tcW w:w="2431" w:type="pct"/>
            <w:shd w:val="clear" w:color="auto" w:fill="FFF3F3"/>
          </w:tcPr>
          <w:p w14:paraId="1C95C8F0" w14:textId="77777777" w:rsidR="00C03EC4" w:rsidRPr="002E75D4" w:rsidRDefault="00C03EC4" w:rsidP="000D6136">
            <w:pPr>
              <w:ind w:right="75"/>
              <w:jc w:val="left"/>
              <w:rPr>
                <w:rFonts w:asciiTheme="majorHAnsi" w:hAnsiTheme="majorHAnsi" w:cstheme="majorHAnsi"/>
              </w:rPr>
            </w:pPr>
            <w:r w:rsidRPr="002E75D4">
              <w:rPr>
                <w:rFonts w:asciiTheme="majorHAnsi" w:hAnsiTheme="majorHAnsi" w:cstheme="majorHAnsi"/>
              </w:rPr>
              <w:t>AER</w:t>
            </w:r>
          </w:p>
        </w:tc>
        <w:tc>
          <w:tcPr>
            <w:tcW w:w="2569" w:type="pct"/>
            <w:noWrap/>
            <w:hideMark/>
          </w:tcPr>
          <w:p w14:paraId="394A64CC" w14:textId="77777777" w:rsidR="00C03EC4" w:rsidRPr="002E75D4" w:rsidRDefault="00C03EC4" w:rsidP="000D6136">
            <w:pPr>
              <w:ind w:right="75"/>
              <w:jc w:val="right"/>
              <w:rPr>
                <w:rFonts w:asciiTheme="majorHAnsi" w:hAnsiTheme="majorHAnsi" w:cstheme="majorHAnsi"/>
              </w:rPr>
            </w:pPr>
            <w:r w:rsidRPr="002E75D4">
              <w:rPr>
                <w:rFonts w:asciiTheme="majorHAnsi" w:hAnsiTheme="majorHAnsi" w:cstheme="majorHAnsi"/>
              </w:rPr>
              <w:t>403</w:t>
            </w:r>
          </w:p>
        </w:tc>
      </w:tr>
      <w:tr w:rsidR="00C03EC4" w:rsidRPr="002E75D4" w14:paraId="2B92A8BB"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2431" w:type="pct"/>
            <w:shd w:val="clear" w:color="auto" w:fill="FFE1E1"/>
          </w:tcPr>
          <w:p w14:paraId="6D9D0FE3" w14:textId="77777777" w:rsidR="00C03EC4" w:rsidRPr="002E75D4" w:rsidRDefault="00C03EC4" w:rsidP="000D6136">
            <w:pPr>
              <w:ind w:right="75"/>
              <w:jc w:val="left"/>
              <w:rPr>
                <w:rFonts w:asciiTheme="majorHAnsi" w:hAnsiTheme="majorHAnsi" w:cstheme="majorHAnsi"/>
              </w:rPr>
            </w:pPr>
            <w:r w:rsidRPr="002E75D4">
              <w:rPr>
                <w:rFonts w:asciiTheme="majorHAnsi" w:hAnsiTheme="majorHAnsi" w:cstheme="majorHAnsi"/>
              </w:rPr>
              <w:t>AMADER</w:t>
            </w:r>
          </w:p>
        </w:tc>
        <w:tc>
          <w:tcPr>
            <w:tcW w:w="2569" w:type="pct"/>
            <w:noWrap/>
            <w:hideMark/>
          </w:tcPr>
          <w:p w14:paraId="3D777A11" w14:textId="77777777" w:rsidR="00C03EC4" w:rsidRPr="002E75D4" w:rsidRDefault="00C03EC4" w:rsidP="000D6136">
            <w:pPr>
              <w:ind w:right="75"/>
              <w:jc w:val="right"/>
              <w:rPr>
                <w:rFonts w:asciiTheme="majorHAnsi" w:hAnsiTheme="majorHAnsi" w:cstheme="majorHAnsi"/>
              </w:rPr>
            </w:pPr>
            <w:r w:rsidRPr="002E75D4">
              <w:rPr>
                <w:rFonts w:asciiTheme="majorHAnsi" w:hAnsiTheme="majorHAnsi" w:cstheme="majorHAnsi"/>
              </w:rPr>
              <w:t>75</w:t>
            </w:r>
          </w:p>
        </w:tc>
      </w:tr>
      <w:tr w:rsidR="00C03EC4" w:rsidRPr="002E75D4" w14:paraId="0A4A0A51" w14:textId="77777777" w:rsidTr="000D6136">
        <w:trPr>
          <w:trHeight w:val="300"/>
        </w:trPr>
        <w:tc>
          <w:tcPr>
            <w:tcW w:w="2431" w:type="pct"/>
            <w:shd w:val="clear" w:color="auto" w:fill="FFF3F3"/>
          </w:tcPr>
          <w:p w14:paraId="345FDD82" w14:textId="77777777" w:rsidR="00C03EC4" w:rsidRPr="002E75D4" w:rsidRDefault="00C03EC4" w:rsidP="000D6136">
            <w:pPr>
              <w:ind w:right="75"/>
              <w:jc w:val="left"/>
              <w:rPr>
                <w:rFonts w:asciiTheme="majorHAnsi" w:hAnsiTheme="majorHAnsi" w:cstheme="majorHAnsi"/>
              </w:rPr>
            </w:pPr>
            <w:r w:rsidRPr="002E75D4">
              <w:rPr>
                <w:rFonts w:asciiTheme="majorHAnsi" w:hAnsiTheme="majorHAnsi" w:cstheme="majorHAnsi"/>
              </w:rPr>
              <w:t>ANADEB</w:t>
            </w:r>
          </w:p>
        </w:tc>
        <w:tc>
          <w:tcPr>
            <w:tcW w:w="2569" w:type="pct"/>
            <w:noWrap/>
            <w:hideMark/>
          </w:tcPr>
          <w:p w14:paraId="5CC19A51" w14:textId="77777777" w:rsidR="00C03EC4" w:rsidRPr="002E75D4" w:rsidRDefault="00C03EC4" w:rsidP="000D6136">
            <w:pPr>
              <w:ind w:right="75"/>
              <w:jc w:val="right"/>
              <w:rPr>
                <w:rFonts w:asciiTheme="majorHAnsi" w:hAnsiTheme="majorHAnsi" w:cstheme="majorHAnsi"/>
              </w:rPr>
            </w:pPr>
            <w:r w:rsidRPr="002E75D4">
              <w:rPr>
                <w:rFonts w:asciiTheme="majorHAnsi" w:hAnsiTheme="majorHAnsi" w:cstheme="majorHAnsi"/>
                <w:szCs w:val="24"/>
              </w:rPr>
              <w:t>12,5</w:t>
            </w:r>
          </w:p>
        </w:tc>
      </w:tr>
      <w:tr w:rsidR="00C03EC4" w:rsidRPr="002E75D4" w14:paraId="58352120"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2431" w:type="pct"/>
            <w:shd w:val="clear" w:color="auto" w:fill="FFE1E1"/>
          </w:tcPr>
          <w:p w14:paraId="557A86B0" w14:textId="77777777" w:rsidR="00C03EC4" w:rsidRPr="002E75D4" w:rsidRDefault="00C03EC4" w:rsidP="000D6136">
            <w:pPr>
              <w:ind w:right="75"/>
              <w:jc w:val="left"/>
              <w:rPr>
                <w:rFonts w:asciiTheme="majorHAnsi" w:hAnsiTheme="majorHAnsi" w:cstheme="majorHAnsi"/>
              </w:rPr>
            </w:pPr>
            <w:r w:rsidRPr="002E75D4">
              <w:rPr>
                <w:rFonts w:asciiTheme="majorHAnsi" w:hAnsiTheme="majorHAnsi" w:cstheme="majorHAnsi"/>
              </w:rPr>
              <w:t>MINES</w:t>
            </w:r>
          </w:p>
        </w:tc>
        <w:tc>
          <w:tcPr>
            <w:tcW w:w="2569" w:type="pct"/>
            <w:noWrap/>
            <w:hideMark/>
          </w:tcPr>
          <w:p w14:paraId="588DEFCB" w14:textId="77777777" w:rsidR="00C03EC4" w:rsidRPr="002E75D4" w:rsidRDefault="00C03EC4" w:rsidP="000D6136">
            <w:pPr>
              <w:ind w:right="75"/>
              <w:jc w:val="right"/>
              <w:rPr>
                <w:rFonts w:asciiTheme="majorHAnsi" w:hAnsiTheme="majorHAnsi" w:cstheme="majorHAnsi"/>
              </w:rPr>
            </w:pPr>
            <w:r w:rsidRPr="002E75D4">
              <w:rPr>
                <w:rFonts w:asciiTheme="majorHAnsi" w:hAnsiTheme="majorHAnsi" w:cstheme="majorHAnsi"/>
              </w:rPr>
              <w:t>65</w:t>
            </w:r>
          </w:p>
        </w:tc>
      </w:tr>
      <w:tr w:rsidR="00C03EC4" w:rsidRPr="002E75D4" w14:paraId="4E099DA5" w14:textId="77777777" w:rsidTr="000D6136">
        <w:trPr>
          <w:trHeight w:val="300"/>
        </w:trPr>
        <w:tc>
          <w:tcPr>
            <w:tcW w:w="2431" w:type="pct"/>
            <w:shd w:val="clear" w:color="auto" w:fill="FFF3F3"/>
          </w:tcPr>
          <w:p w14:paraId="0944B56D" w14:textId="77777777" w:rsidR="00C03EC4" w:rsidRPr="002E75D4" w:rsidRDefault="00C03EC4" w:rsidP="000D6136">
            <w:pPr>
              <w:ind w:right="75"/>
              <w:jc w:val="left"/>
              <w:rPr>
                <w:rFonts w:asciiTheme="majorHAnsi" w:hAnsiTheme="majorHAnsi" w:cstheme="majorHAnsi"/>
              </w:rPr>
            </w:pPr>
            <w:r w:rsidRPr="002E75D4">
              <w:rPr>
                <w:rFonts w:asciiTheme="majorHAnsi" w:hAnsiTheme="majorHAnsi" w:cstheme="majorHAnsi"/>
              </w:rPr>
              <w:t>TOTAL</w:t>
            </w:r>
          </w:p>
        </w:tc>
        <w:tc>
          <w:tcPr>
            <w:tcW w:w="2569" w:type="pct"/>
            <w:noWrap/>
            <w:hideMark/>
          </w:tcPr>
          <w:p w14:paraId="2BF0C02F" w14:textId="77777777" w:rsidR="00C03EC4" w:rsidRPr="002E75D4" w:rsidRDefault="00C03EC4" w:rsidP="000D6136">
            <w:pPr>
              <w:ind w:right="75"/>
              <w:jc w:val="right"/>
              <w:rPr>
                <w:rFonts w:asciiTheme="majorHAnsi" w:hAnsiTheme="majorHAnsi" w:cstheme="majorHAnsi"/>
              </w:rPr>
            </w:pPr>
            <w:r w:rsidRPr="002E75D4">
              <w:rPr>
                <w:rFonts w:asciiTheme="majorHAnsi" w:hAnsiTheme="majorHAnsi" w:cstheme="majorHAnsi"/>
              </w:rPr>
              <w:t>1 518</w:t>
            </w:r>
          </w:p>
        </w:tc>
      </w:tr>
    </w:tbl>
    <w:p w14:paraId="61F1A339" w14:textId="77777777" w:rsidR="00C03EC4" w:rsidRPr="002E75D4" w:rsidRDefault="00C03EC4" w:rsidP="00C03EC4">
      <w:pPr>
        <w:pStyle w:val="Paragraphedeliste"/>
        <w:widowControl w:val="0"/>
        <w:autoSpaceDE w:val="0"/>
        <w:autoSpaceDN w:val="0"/>
        <w:adjustRightInd w:val="0"/>
        <w:spacing w:before="120" w:after="0" w:line="240" w:lineRule="auto"/>
        <w:ind w:left="0"/>
        <w:contextualSpacing w:val="0"/>
        <w:mirrorIndents/>
        <w:jc w:val="both"/>
        <w:rPr>
          <w:rFonts w:asciiTheme="majorHAnsi" w:hAnsiTheme="majorHAnsi" w:cstheme="majorHAnsi"/>
          <w:bCs/>
          <w:sz w:val="22"/>
          <w:szCs w:val="24"/>
        </w:rPr>
      </w:pPr>
      <w:r w:rsidRPr="002E75D4">
        <w:rPr>
          <w:rFonts w:asciiTheme="majorHAnsi" w:hAnsiTheme="majorHAnsi" w:cstheme="majorHAnsi"/>
          <w:bCs/>
          <w:sz w:val="22"/>
          <w:szCs w:val="24"/>
        </w:rPr>
        <w:t xml:space="preserve">Le coût correspondant est de 1 518 milliards de FCFA, soit 3,036 milliards $ </w:t>
      </w:r>
      <w:r w:rsidRPr="002E75D4">
        <w:rPr>
          <w:rFonts w:asciiTheme="majorHAnsi" w:eastAsia="Calibri" w:hAnsiTheme="majorHAnsi" w:cstheme="majorHAnsi"/>
          <w:bCs/>
          <w:sz w:val="22"/>
          <w:szCs w:val="24"/>
          <w:lang w:eastAsia="en-US"/>
        </w:rPr>
        <w:t>US</w:t>
      </w:r>
      <w:r w:rsidRPr="002E75D4">
        <w:rPr>
          <w:rFonts w:asciiTheme="majorHAnsi" w:hAnsiTheme="majorHAnsi" w:cstheme="majorHAnsi"/>
          <w:bCs/>
          <w:sz w:val="22"/>
          <w:szCs w:val="24"/>
        </w:rPr>
        <w:t xml:space="preserve"> sur la période 20-2030. </w:t>
      </w:r>
    </w:p>
    <w:p w14:paraId="0E0FAB36" w14:textId="77777777" w:rsidR="00C03EC4" w:rsidRPr="002E75D4" w:rsidRDefault="00C03EC4" w:rsidP="00C03EC4">
      <w:pPr>
        <w:spacing w:after="120"/>
        <w:jc w:val="both"/>
        <w:rPr>
          <w:rFonts w:asciiTheme="majorHAnsi" w:eastAsia="Calibri" w:hAnsiTheme="majorHAnsi" w:cstheme="majorHAnsi"/>
          <w:szCs w:val="24"/>
        </w:rPr>
      </w:pPr>
    </w:p>
    <w:p w14:paraId="0A27E081" w14:textId="77777777" w:rsidR="00C03EC4" w:rsidRPr="00A021BD" w:rsidRDefault="00C03EC4" w:rsidP="00C03EC4">
      <w:pPr>
        <w:spacing w:after="120"/>
        <w:rPr>
          <w:rFonts w:asciiTheme="majorHAnsi" w:eastAsia="Calibri" w:hAnsiTheme="majorHAnsi" w:cstheme="majorHAnsi"/>
          <w:b/>
          <w:sz w:val="30"/>
          <w:szCs w:val="30"/>
        </w:rPr>
      </w:pPr>
      <w:r w:rsidRPr="00A021BD">
        <w:rPr>
          <w:rFonts w:asciiTheme="majorHAnsi" w:hAnsiTheme="majorHAnsi" w:cstheme="majorHAnsi"/>
          <w:b/>
          <w:sz w:val="30"/>
          <w:szCs w:val="30"/>
        </w:rPr>
        <w:t>3.2.2 Émissions de GES dans le secteur de l’Agriculture pour la</w:t>
      </w:r>
      <w:r>
        <w:rPr>
          <w:rFonts w:asciiTheme="majorHAnsi" w:hAnsiTheme="majorHAnsi" w:cstheme="majorHAnsi"/>
          <w:b/>
          <w:sz w:val="30"/>
          <w:szCs w:val="30"/>
        </w:rPr>
        <w:t xml:space="preserve"> </w:t>
      </w:r>
      <w:r w:rsidRPr="00A021BD">
        <w:rPr>
          <w:rFonts w:asciiTheme="majorHAnsi" w:hAnsiTheme="majorHAnsi" w:cstheme="majorHAnsi"/>
          <w:b/>
          <w:sz w:val="30"/>
          <w:szCs w:val="30"/>
        </w:rPr>
        <w:t>période 2020-2030</w:t>
      </w:r>
    </w:p>
    <w:p w14:paraId="36DC7CF2" w14:textId="77777777" w:rsidR="00C03EC4" w:rsidRPr="002E75D4" w:rsidRDefault="00C03EC4" w:rsidP="00C03EC4">
      <w:pPr>
        <w:spacing w:after="0" w:line="240" w:lineRule="auto"/>
        <w:jc w:val="both"/>
        <w:rPr>
          <w:rStyle w:val="Accentuation"/>
          <w:rFonts w:asciiTheme="majorHAnsi" w:hAnsiTheme="majorHAnsi" w:cstheme="majorHAnsi"/>
          <w:b w:val="0"/>
          <w:bCs w:val="0"/>
          <w:i w:val="0"/>
          <w:iCs w:val="0"/>
          <w:sz w:val="24"/>
          <w:szCs w:val="24"/>
        </w:rPr>
      </w:pPr>
    </w:p>
    <w:p w14:paraId="43B21FB6" w14:textId="77777777" w:rsidR="00C03EC4" w:rsidRPr="002E75D4" w:rsidRDefault="00C03EC4" w:rsidP="00C03EC4">
      <w:pPr>
        <w:spacing w:after="0" w:line="240" w:lineRule="auto"/>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La synthèse des émissions de GES par sous-secteur a montré que le secteur de l’Agriculture représente 69 % et celui de l’Elevage 31% du total des gaz produits.</w:t>
      </w:r>
    </w:p>
    <w:p w14:paraId="2377741E" w14:textId="77777777" w:rsidR="00C03EC4" w:rsidRPr="002E75D4" w:rsidRDefault="00C03EC4" w:rsidP="00C03EC4">
      <w:pPr>
        <w:spacing w:after="0" w:line="240" w:lineRule="auto"/>
        <w:jc w:val="both"/>
        <w:rPr>
          <w:rStyle w:val="Accentuation"/>
          <w:rFonts w:asciiTheme="majorHAnsi" w:hAnsiTheme="majorHAnsi" w:cstheme="majorHAnsi"/>
          <w:b w:val="0"/>
          <w:bCs w:val="0"/>
          <w:i w:val="0"/>
          <w:iCs w:val="0"/>
          <w:sz w:val="18"/>
          <w:szCs w:val="24"/>
        </w:rPr>
      </w:pPr>
    </w:p>
    <w:p w14:paraId="38AE6510" w14:textId="77777777" w:rsidR="00C03EC4" w:rsidRDefault="00C03EC4" w:rsidP="00C03EC4">
      <w:pPr>
        <w:spacing w:after="0" w:line="240" w:lineRule="auto"/>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Les mesures d'atténuation des émissions de GES dans le secteur de l’Agriculture porteront donc sur ces deux sous-secteurs (agriculture et élevage)</w:t>
      </w:r>
    </w:p>
    <w:p w14:paraId="1567D934" w14:textId="77777777" w:rsidR="00C03EC4" w:rsidRPr="00F24A9E" w:rsidRDefault="00C03EC4" w:rsidP="00C03EC4">
      <w:pPr>
        <w:spacing w:after="0" w:line="240" w:lineRule="auto"/>
        <w:jc w:val="both"/>
        <w:rPr>
          <w:rFonts w:asciiTheme="majorHAnsi" w:hAnsiTheme="majorHAnsi" w:cstheme="majorHAnsi"/>
          <w:spacing w:val="10"/>
          <w:sz w:val="24"/>
          <w:szCs w:val="24"/>
        </w:rPr>
      </w:pPr>
    </w:p>
    <w:p w14:paraId="4C0450D2" w14:textId="77777777" w:rsidR="00C03EC4" w:rsidRPr="00F24A9E" w:rsidRDefault="00C03EC4" w:rsidP="00C03EC4">
      <w:pPr>
        <w:pStyle w:val="Style1"/>
        <w:ind w:left="0"/>
        <w:rPr>
          <w:sz w:val="24"/>
          <w:szCs w:val="24"/>
        </w:rPr>
      </w:pPr>
      <w:r w:rsidRPr="00F24A9E">
        <w:rPr>
          <w:sz w:val="24"/>
          <w:szCs w:val="24"/>
        </w:rPr>
        <w:t xml:space="preserve">Politiques, plans et programmes </w:t>
      </w:r>
    </w:p>
    <w:p w14:paraId="5C9D5337" w14:textId="77777777" w:rsidR="00C03EC4" w:rsidRPr="002E75D4" w:rsidRDefault="00C03EC4" w:rsidP="00C03EC4">
      <w:pPr>
        <w:spacing w:after="0" w:line="240" w:lineRule="auto"/>
        <w:jc w:val="both"/>
        <w:rPr>
          <w:rFonts w:asciiTheme="majorHAnsi" w:hAnsiTheme="majorHAnsi" w:cstheme="majorHAnsi"/>
          <w:sz w:val="24"/>
          <w:szCs w:val="24"/>
        </w:rPr>
      </w:pPr>
    </w:p>
    <w:p w14:paraId="1A8E5766" w14:textId="77777777" w:rsidR="00C03EC4" w:rsidRPr="002E75D4" w:rsidRDefault="00C03EC4" w:rsidP="00C03EC4">
      <w:pPr>
        <w:spacing w:after="60" w:line="240" w:lineRule="auto"/>
        <w:jc w:val="both"/>
        <w:rPr>
          <w:rFonts w:asciiTheme="majorHAnsi" w:eastAsia="Calibri" w:hAnsiTheme="majorHAnsi" w:cstheme="majorHAnsi"/>
          <w:sz w:val="24"/>
          <w:szCs w:val="24"/>
        </w:rPr>
      </w:pPr>
      <w:r w:rsidRPr="002E75D4">
        <w:rPr>
          <w:rFonts w:asciiTheme="majorHAnsi" w:hAnsiTheme="majorHAnsi" w:cstheme="majorHAnsi"/>
          <w:sz w:val="24"/>
          <w:szCs w:val="24"/>
        </w:rPr>
        <w:t>Les politiques, stratégies, plans et programmes sur lesquels s'appuient les évaluations d’atténuation des émissions de GES sont les suivantes :</w:t>
      </w:r>
    </w:p>
    <w:p w14:paraId="61BBA58A" w14:textId="77777777" w:rsidR="00C03EC4" w:rsidRPr="002E75D4" w:rsidRDefault="00C03EC4" w:rsidP="00C03EC4">
      <w:pPr>
        <w:pStyle w:val="Paragraphedeliste"/>
        <w:numPr>
          <w:ilvl w:val="0"/>
          <w:numId w:val="34"/>
        </w:numPr>
        <w:autoSpaceDE w:val="0"/>
        <w:autoSpaceDN w:val="0"/>
        <w:adjustRightInd w:val="0"/>
        <w:spacing w:after="4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La Politique de Développement Agricole (PDA) ;</w:t>
      </w:r>
    </w:p>
    <w:p w14:paraId="76CA95E4" w14:textId="77777777" w:rsidR="00C03EC4" w:rsidRPr="002E75D4" w:rsidRDefault="00C03EC4" w:rsidP="00C03EC4">
      <w:pPr>
        <w:pStyle w:val="Paragraphedeliste"/>
        <w:numPr>
          <w:ilvl w:val="0"/>
          <w:numId w:val="34"/>
        </w:numPr>
        <w:autoSpaceDE w:val="0"/>
        <w:autoSpaceDN w:val="0"/>
        <w:adjustRightInd w:val="0"/>
        <w:spacing w:after="4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La Politique Nationale de Développement de l’Elevage ;</w:t>
      </w:r>
    </w:p>
    <w:p w14:paraId="54E54835" w14:textId="77777777" w:rsidR="00C03EC4" w:rsidRPr="002E75D4" w:rsidRDefault="00C03EC4" w:rsidP="00C03EC4">
      <w:pPr>
        <w:pStyle w:val="Paragraphedeliste"/>
        <w:numPr>
          <w:ilvl w:val="0"/>
          <w:numId w:val="34"/>
        </w:numPr>
        <w:autoSpaceDE w:val="0"/>
        <w:autoSpaceDN w:val="0"/>
        <w:adjustRightInd w:val="0"/>
        <w:spacing w:after="4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La Politique Nationale De Développement de la pêche et de l’aquaculture au Mali ;</w:t>
      </w:r>
    </w:p>
    <w:p w14:paraId="7B10072C" w14:textId="77777777" w:rsidR="00C03EC4" w:rsidRPr="002E75D4" w:rsidRDefault="00C03EC4" w:rsidP="00C03EC4">
      <w:pPr>
        <w:pStyle w:val="Paragraphedeliste"/>
        <w:numPr>
          <w:ilvl w:val="0"/>
          <w:numId w:val="34"/>
        </w:numPr>
        <w:autoSpaceDE w:val="0"/>
        <w:autoSpaceDN w:val="0"/>
        <w:adjustRightInd w:val="0"/>
        <w:spacing w:after="4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 xml:space="preserve">Le Plan National d’Investissement dans le Secteur Agricole (PNISA) 2015-2025 ; </w:t>
      </w:r>
    </w:p>
    <w:p w14:paraId="30F00EBC" w14:textId="77777777" w:rsidR="00C03EC4" w:rsidRPr="002E75D4" w:rsidRDefault="00C03EC4" w:rsidP="00C03EC4">
      <w:pPr>
        <w:pStyle w:val="Paragraphedeliste"/>
        <w:numPr>
          <w:ilvl w:val="0"/>
          <w:numId w:val="34"/>
        </w:numPr>
        <w:autoSpaceDE w:val="0"/>
        <w:autoSpaceDN w:val="0"/>
        <w:adjustRightInd w:val="0"/>
        <w:spacing w:after="40" w:line="240" w:lineRule="auto"/>
        <w:ind w:right="-285"/>
        <w:contextualSpacing w:val="0"/>
        <w:jc w:val="both"/>
        <w:rPr>
          <w:rFonts w:asciiTheme="majorHAnsi" w:hAnsiTheme="majorHAnsi" w:cstheme="majorHAnsi"/>
          <w:sz w:val="24"/>
          <w:szCs w:val="24"/>
        </w:rPr>
      </w:pPr>
      <w:r w:rsidRPr="002E75D4">
        <w:rPr>
          <w:rFonts w:asciiTheme="majorHAnsi" w:hAnsiTheme="majorHAnsi" w:cstheme="majorHAnsi"/>
          <w:sz w:val="24"/>
          <w:szCs w:val="24"/>
        </w:rPr>
        <w:t>Le Programme National de mise à l’échelle du système de Riziculture Intensif (PN-SRI) ;</w:t>
      </w:r>
    </w:p>
    <w:p w14:paraId="0471FD92" w14:textId="77777777" w:rsidR="00C03EC4" w:rsidRPr="002E75D4" w:rsidRDefault="00C03EC4" w:rsidP="00C03EC4">
      <w:pPr>
        <w:pStyle w:val="Pieddepage"/>
        <w:numPr>
          <w:ilvl w:val="0"/>
          <w:numId w:val="34"/>
        </w:numPr>
        <w:spacing w:after="40"/>
        <w:jc w:val="both"/>
        <w:rPr>
          <w:rFonts w:asciiTheme="majorHAnsi" w:hAnsiTheme="majorHAnsi" w:cstheme="majorHAnsi"/>
          <w:sz w:val="24"/>
          <w:szCs w:val="24"/>
        </w:rPr>
      </w:pPr>
      <w:r w:rsidRPr="002E75D4">
        <w:rPr>
          <w:rFonts w:asciiTheme="majorHAnsi" w:hAnsiTheme="majorHAnsi" w:cstheme="majorHAnsi"/>
          <w:sz w:val="24"/>
          <w:szCs w:val="24"/>
        </w:rPr>
        <w:t>Le Projet d’Appui à la Filière Anacarde au Mali (PAFAM) ;</w:t>
      </w:r>
    </w:p>
    <w:p w14:paraId="24197127" w14:textId="77777777" w:rsidR="00C03EC4" w:rsidRPr="002E75D4" w:rsidRDefault="00C03EC4" w:rsidP="00C03EC4">
      <w:pPr>
        <w:pStyle w:val="Paragraphedeliste"/>
        <w:numPr>
          <w:ilvl w:val="0"/>
          <w:numId w:val="34"/>
        </w:numPr>
        <w:spacing w:after="4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Le Projet Régional d’Appui au Pastoralisme au Sahel (PRAPS-ML) PHASE II ;</w:t>
      </w:r>
    </w:p>
    <w:p w14:paraId="7F16B7F6" w14:textId="77777777" w:rsidR="00C03EC4" w:rsidRPr="002E75D4" w:rsidRDefault="00C03EC4" w:rsidP="00C03EC4">
      <w:pPr>
        <w:pStyle w:val="Paragraphedeliste"/>
        <w:numPr>
          <w:ilvl w:val="0"/>
          <w:numId w:val="34"/>
        </w:numPr>
        <w:spacing w:after="4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Le programme climat de la CMDT ;</w:t>
      </w:r>
    </w:p>
    <w:p w14:paraId="259C4D8F" w14:textId="77777777" w:rsidR="00C03EC4" w:rsidRPr="002E75D4" w:rsidRDefault="00C03EC4" w:rsidP="00C03EC4">
      <w:pPr>
        <w:pStyle w:val="Paragraphedeliste"/>
        <w:numPr>
          <w:ilvl w:val="0"/>
          <w:numId w:val="34"/>
        </w:numPr>
        <w:spacing w:after="4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 xml:space="preserve">Le Cadre stratégique d’investissement pour la gestion durable des terres ; </w:t>
      </w:r>
    </w:p>
    <w:p w14:paraId="78581DB8" w14:textId="77777777" w:rsidR="00C03EC4" w:rsidRPr="002E75D4" w:rsidRDefault="00C03EC4" w:rsidP="00C03EC4">
      <w:pPr>
        <w:pStyle w:val="Paragraphedeliste"/>
        <w:numPr>
          <w:ilvl w:val="0"/>
          <w:numId w:val="34"/>
        </w:numPr>
        <w:spacing w:after="4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 xml:space="preserve">Le Programme pilote de développement d’une agriculture intelligente et résiliente aux changements climatiques ; </w:t>
      </w:r>
    </w:p>
    <w:p w14:paraId="67791394" w14:textId="77777777" w:rsidR="00C03EC4" w:rsidRPr="002E75D4" w:rsidRDefault="00C03EC4" w:rsidP="00C03EC4">
      <w:pPr>
        <w:pStyle w:val="Paragraphedeliste"/>
        <w:numPr>
          <w:ilvl w:val="0"/>
          <w:numId w:val="34"/>
        </w:numPr>
        <w:spacing w:after="4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Le Programme de captage et stockage des eaux de pluie.</w:t>
      </w:r>
    </w:p>
    <w:p w14:paraId="2AF0F8CC"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 w:val="24"/>
          <w:szCs w:val="24"/>
        </w:rPr>
      </w:pPr>
    </w:p>
    <w:p w14:paraId="79857064"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Par ailleurs, les objectifs assignés à la Politique de Développement Agricole s'inscrivent en droite ligne des directives de la Loi d’Orientation Agricole et prennent en compte les grands défis et enjeux auxquels l'Agriculture malienne est confrontée et traduisent la vision du pays.</w:t>
      </w:r>
    </w:p>
    <w:p w14:paraId="0F3594B5" w14:textId="77777777" w:rsidR="00C03EC4" w:rsidRPr="002E75D4" w:rsidRDefault="00C03EC4" w:rsidP="00C03EC4">
      <w:pPr>
        <w:pStyle w:val="Paragraphedeliste"/>
        <w:spacing w:after="0" w:line="240" w:lineRule="auto"/>
        <w:ind w:left="360"/>
        <w:jc w:val="both"/>
        <w:rPr>
          <w:rFonts w:asciiTheme="majorHAnsi" w:hAnsiTheme="majorHAnsi" w:cstheme="majorHAnsi"/>
          <w:sz w:val="24"/>
          <w:szCs w:val="24"/>
        </w:rPr>
      </w:pPr>
    </w:p>
    <w:p w14:paraId="15969848" w14:textId="77777777" w:rsidR="00C03EC4" w:rsidRPr="00A021BD" w:rsidRDefault="00C03EC4" w:rsidP="00C03EC4">
      <w:pPr>
        <w:spacing w:after="0" w:line="240" w:lineRule="auto"/>
        <w:jc w:val="both"/>
        <w:rPr>
          <w:rFonts w:asciiTheme="majorHAnsi" w:hAnsiTheme="majorHAnsi" w:cstheme="majorHAnsi"/>
          <w:sz w:val="24"/>
          <w:szCs w:val="24"/>
        </w:rPr>
      </w:pPr>
      <w:r w:rsidRPr="00A021BD">
        <w:rPr>
          <w:rFonts w:asciiTheme="majorHAnsi" w:hAnsiTheme="majorHAnsi" w:cstheme="majorHAnsi"/>
          <w:sz w:val="24"/>
          <w:szCs w:val="24"/>
        </w:rPr>
        <w:t>Principales actions qui en découlent :</w:t>
      </w:r>
    </w:p>
    <w:p w14:paraId="4D5CC24B" w14:textId="77777777" w:rsidR="00C03EC4" w:rsidRPr="002E75D4" w:rsidRDefault="00C03EC4" w:rsidP="00C03EC4">
      <w:pPr>
        <w:pStyle w:val="Paragraphedeliste"/>
        <w:numPr>
          <w:ilvl w:val="0"/>
          <w:numId w:val="35"/>
        </w:numPr>
        <w:spacing w:before="60" w:after="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le système de riziculture intensive {SRI) ;</w:t>
      </w:r>
    </w:p>
    <w:p w14:paraId="7A96A3AA" w14:textId="77777777" w:rsidR="00C03EC4" w:rsidRPr="002E75D4" w:rsidRDefault="00C03EC4" w:rsidP="00C03EC4">
      <w:pPr>
        <w:pStyle w:val="Paragraphedeliste"/>
        <w:numPr>
          <w:ilvl w:val="0"/>
          <w:numId w:val="35"/>
        </w:numPr>
        <w:spacing w:before="60" w:after="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la localisation de l’engrais (microdose, placement Profond de l’urée) ;</w:t>
      </w:r>
    </w:p>
    <w:p w14:paraId="0011AA98" w14:textId="77777777" w:rsidR="00C03EC4" w:rsidRPr="002E75D4" w:rsidRDefault="00C03EC4" w:rsidP="00C03EC4">
      <w:pPr>
        <w:pStyle w:val="Paragraphedeliste"/>
        <w:numPr>
          <w:ilvl w:val="0"/>
          <w:numId w:val="35"/>
        </w:numPr>
        <w:spacing w:before="60" w:after="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la production et l’utilisation de la fumure organique ;</w:t>
      </w:r>
    </w:p>
    <w:p w14:paraId="40CA4A2F" w14:textId="77777777" w:rsidR="00C03EC4" w:rsidRPr="002E75D4" w:rsidRDefault="00C03EC4" w:rsidP="00C03EC4">
      <w:pPr>
        <w:pStyle w:val="Paragraphedeliste"/>
        <w:numPr>
          <w:ilvl w:val="0"/>
          <w:numId w:val="35"/>
        </w:numPr>
        <w:spacing w:before="60" w:after="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l’interdiction de la combustion des résidus de récolte (procéder à l’enfouissement des résidus de récolte dans le sol ou à leur utilisation pour la préparation de la fumure organique) ;</w:t>
      </w:r>
    </w:p>
    <w:p w14:paraId="2B8CB30F" w14:textId="77777777" w:rsidR="00C03EC4" w:rsidRDefault="00C03EC4" w:rsidP="00C03EC4">
      <w:pPr>
        <w:pStyle w:val="Paragraphedeliste"/>
        <w:numPr>
          <w:ilvl w:val="0"/>
          <w:numId w:val="35"/>
        </w:numPr>
        <w:spacing w:before="60" w:after="0" w:line="240" w:lineRule="auto"/>
        <w:contextualSpacing w:val="0"/>
        <w:jc w:val="both"/>
        <w:rPr>
          <w:rFonts w:asciiTheme="majorHAnsi" w:hAnsiTheme="majorHAnsi" w:cstheme="majorHAnsi"/>
          <w:sz w:val="24"/>
          <w:szCs w:val="24"/>
        </w:rPr>
      </w:pPr>
      <w:r w:rsidRPr="002E75D4">
        <w:rPr>
          <w:rFonts w:asciiTheme="majorHAnsi" w:hAnsiTheme="majorHAnsi" w:cstheme="majorHAnsi"/>
          <w:sz w:val="24"/>
          <w:szCs w:val="24"/>
        </w:rPr>
        <w:t>la substitution de l’urée à forte teneur en azote par la fumure organique.</w:t>
      </w:r>
    </w:p>
    <w:p w14:paraId="4FBE2096" w14:textId="77777777" w:rsidR="00C03EC4" w:rsidRPr="00A021BD" w:rsidRDefault="00C03EC4" w:rsidP="00C03EC4">
      <w:pPr>
        <w:pStyle w:val="Paragraphedeliste"/>
        <w:spacing w:before="60" w:after="0" w:line="240" w:lineRule="auto"/>
        <w:contextualSpacing w:val="0"/>
        <w:jc w:val="both"/>
        <w:rPr>
          <w:rFonts w:asciiTheme="majorHAnsi" w:hAnsiTheme="majorHAnsi" w:cstheme="majorHAnsi"/>
          <w:sz w:val="24"/>
          <w:szCs w:val="24"/>
        </w:rPr>
      </w:pPr>
    </w:p>
    <w:p w14:paraId="4BF50809" w14:textId="77777777" w:rsidR="00C03EC4" w:rsidRPr="00A021BD" w:rsidRDefault="00C03EC4" w:rsidP="00C03EC4">
      <w:pPr>
        <w:spacing w:before="60" w:after="0" w:line="240" w:lineRule="auto"/>
        <w:jc w:val="both"/>
        <w:rPr>
          <w:rFonts w:asciiTheme="majorHAnsi" w:hAnsiTheme="majorHAnsi" w:cstheme="majorHAnsi"/>
          <w:bCs/>
          <w:sz w:val="24"/>
          <w:szCs w:val="24"/>
        </w:rPr>
      </w:pPr>
      <w:r w:rsidRPr="00A021BD">
        <w:rPr>
          <w:rFonts w:asciiTheme="majorHAnsi" w:hAnsiTheme="majorHAnsi" w:cstheme="majorHAnsi"/>
          <w:bCs/>
          <w:sz w:val="24"/>
          <w:szCs w:val="24"/>
        </w:rPr>
        <w:t>La promotion de l’agriculture résiliente à l’égard des femmes agricultrices par :</w:t>
      </w:r>
    </w:p>
    <w:p w14:paraId="1242308B" w14:textId="77777777" w:rsidR="00C03EC4" w:rsidRPr="002E75D4" w:rsidRDefault="00C03EC4" w:rsidP="00C03EC4">
      <w:pPr>
        <w:spacing w:before="60" w:after="0" w:line="240" w:lineRule="auto"/>
        <w:jc w:val="both"/>
        <w:rPr>
          <w:rFonts w:asciiTheme="majorHAnsi" w:hAnsiTheme="majorHAnsi" w:cstheme="majorHAnsi"/>
          <w:sz w:val="24"/>
          <w:szCs w:val="24"/>
        </w:rPr>
      </w:pPr>
    </w:p>
    <w:p w14:paraId="104CEDDC" w14:textId="77777777" w:rsidR="00C03EC4" w:rsidRPr="002E75D4" w:rsidRDefault="00C03EC4" w:rsidP="00C03EC4">
      <w:pPr>
        <w:pStyle w:val="Paragraphedeliste"/>
        <w:numPr>
          <w:ilvl w:val="0"/>
          <w:numId w:val="36"/>
        </w:numPr>
        <w:tabs>
          <w:tab w:val="center" w:pos="4536"/>
          <w:tab w:val="left" w:pos="8295"/>
        </w:tabs>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l’adoption des pratiques agro écologiques et la diversification des productions dans l’intérêt de la protection maximale de la biodiversité   </w:t>
      </w:r>
    </w:p>
    <w:p w14:paraId="724DCE96" w14:textId="77777777" w:rsidR="00C03EC4" w:rsidRPr="002E75D4" w:rsidRDefault="00C03EC4" w:rsidP="00C03EC4">
      <w:pPr>
        <w:pStyle w:val="Paragraphedeliste"/>
        <w:numPr>
          <w:ilvl w:val="0"/>
          <w:numId w:val="36"/>
        </w:numPr>
        <w:tabs>
          <w:tab w:val="center" w:pos="4536"/>
          <w:tab w:val="left" w:pos="8295"/>
        </w:tabs>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l’amélioration du dispositif d’attribution des ferres et ;  </w:t>
      </w:r>
    </w:p>
    <w:p w14:paraId="2DFB3D24" w14:textId="77777777" w:rsidR="00C03EC4" w:rsidRPr="002E75D4" w:rsidRDefault="00C03EC4" w:rsidP="00C03EC4">
      <w:pPr>
        <w:pStyle w:val="Paragraphedeliste"/>
        <w:numPr>
          <w:ilvl w:val="0"/>
          <w:numId w:val="36"/>
        </w:numPr>
        <w:tabs>
          <w:tab w:val="center" w:pos="4536"/>
          <w:tab w:val="left" w:pos="8295"/>
        </w:tabs>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le renforcement du positionnement stratégique des femmes sur tous les maillons de la chaine de valeur des filières porteuses afin de diversifier les sources de revenus et réduire la pression sur les superficies agricoles.</w:t>
      </w:r>
    </w:p>
    <w:p w14:paraId="1A65503E" w14:textId="77777777" w:rsidR="00C03EC4" w:rsidRPr="00A021BD" w:rsidRDefault="00C03EC4" w:rsidP="00C03EC4">
      <w:pPr>
        <w:shd w:val="clear" w:color="auto" w:fill="FFFFFF" w:themeFill="background1"/>
        <w:tabs>
          <w:tab w:val="center" w:pos="4536"/>
          <w:tab w:val="left" w:pos="8295"/>
        </w:tabs>
        <w:spacing w:after="120" w:line="240" w:lineRule="auto"/>
        <w:jc w:val="both"/>
        <w:rPr>
          <w:rFonts w:asciiTheme="majorHAnsi" w:eastAsia="Calibri" w:hAnsiTheme="majorHAnsi" w:cstheme="majorHAnsi"/>
          <w:sz w:val="24"/>
          <w:szCs w:val="24"/>
          <w:lang w:val="fr-ML"/>
        </w:rPr>
      </w:pPr>
      <w:r w:rsidRPr="00A021BD">
        <w:rPr>
          <w:rFonts w:asciiTheme="majorHAnsi" w:eastAsia="Calibri" w:hAnsiTheme="majorHAnsi" w:cstheme="majorHAnsi"/>
          <w:sz w:val="24"/>
          <w:szCs w:val="24"/>
          <w:lang w:val="fr-ML"/>
        </w:rPr>
        <w:t>Prévision des programmes pour le scénario de base</w:t>
      </w:r>
    </w:p>
    <w:p w14:paraId="3BC41CE9" w14:textId="77777777" w:rsidR="00C03EC4" w:rsidRPr="002E75D4" w:rsidRDefault="00C03EC4" w:rsidP="00C03EC4">
      <w:pPr>
        <w:spacing w:after="0" w:line="240" w:lineRule="auto"/>
        <w:jc w:val="both"/>
        <w:rPr>
          <w:rFonts w:asciiTheme="majorHAnsi" w:hAnsiTheme="majorHAnsi" w:cstheme="majorHAnsi"/>
          <w:sz w:val="24"/>
          <w:szCs w:val="24"/>
        </w:rPr>
      </w:pPr>
    </w:p>
    <w:p w14:paraId="6D95EDEF" w14:textId="77777777" w:rsidR="00C03EC4" w:rsidRDefault="00C03EC4" w:rsidP="00C03EC4">
      <w:pPr>
        <w:spacing w:after="0" w:line="240" w:lineRule="auto"/>
        <w:jc w:val="both"/>
        <w:rPr>
          <w:rStyle w:val="Accentuation"/>
          <w:rFonts w:asciiTheme="majorHAnsi" w:hAnsiTheme="majorHAnsi" w:cstheme="majorHAnsi"/>
          <w:b w:val="0"/>
          <w:bCs w:val="0"/>
          <w:i w:val="0"/>
          <w:iCs w:val="0"/>
          <w:sz w:val="24"/>
          <w:szCs w:val="24"/>
        </w:rPr>
      </w:pPr>
      <w:r w:rsidRPr="002E75D4">
        <w:rPr>
          <w:rFonts w:asciiTheme="majorHAnsi" w:hAnsiTheme="majorHAnsi" w:cstheme="majorHAnsi"/>
          <w:sz w:val="24"/>
          <w:szCs w:val="24"/>
        </w:rPr>
        <w:t xml:space="preserve">Les prévisions se basent sur la mise en œuvre des politiques, plans et stratégies ci-dessus </w:t>
      </w:r>
      <w:r w:rsidRPr="002E75D4">
        <w:rPr>
          <w:rStyle w:val="Accentuation"/>
          <w:rFonts w:asciiTheme="majorHAnsi" w:hAnsiTheme="majorHAnsi" w:cstheme="majorHAnsi"/>
          <w:b w:val="0"/>
          <w:bCs w:val="0"/>
          <w:i w:val="0"/>
          <w:iCs w:val="0"/>
          <w:sz w:val="24"/>
          <w:szCs w:val="24"/>
        </w:rPr>
        <w:t xml:space="preserve">mentionnés et avec un taux d’accroissement annuel moyen des émissions de 4,2% </w:t>
      </w:r>
    </w:p>
    <w:p w14:paraId="2BD5DB1E" w14:textId="77777777" w:rsidR="00C03EC4" w:rsidRPr="00FC3DF0" w:rsidRDefault="00C03EC4" w:rsidP="00C03EC4">
      <w:pPr>
        <w:spacing w:after="0" w:line="240" w:lineRule="auto"/>
        <w:jc w:val="both"/>
        <w:rPr>
          <w:rFonts w:asciiTheme="majorHAnsi" w:hAnsiTheme="majorHAnsi" w:cstheme="majorHAnsi"/>
          <w:spacing w:val="10"/>
          <w:sz w:val="24"/>
          <w:szCs w:val="24"/>
        </w:rPr>
      </w:pPr>
      <w:r w:rsidRPr="00F24A9E">
        <w:rPr>
          <w:sz w:val="24"/>
          <w:szCs w:val="24"/>
        </w:rPr>
        <w:t xml:space="preserve">Prévision des programmes pour le scénario d’atténuation </w:t>
      </w:r>
    </w:p>
    <w:p w14:paraId="4643D9F3" w14:textId="77777777" w:rsidR="00C03EC4" w:rsidRPr="002E75D4" w:rsidRDefault="00C03EC4" w:rsidP="00C03EC4">
      <w:pPr>
        <w:spacing w:after="0" w:line="240" w:lineRule="auto"/>
        <w:ind w:right="2266"/>
        <w:jc w:val="both"/>
        <w:rPr>
          <w:rStyle w:val="Accentuation"/>
          <w:rFonts w:asciiTheme="majorHAnsi" w:hAnsiTheme="majorHAnsi" w:cstheme="majorHAnsi"/>
          <w:b w:val="0"/>
          <w:bCs w:val="0"/>
          <w:i w:val="0"/>
          <w:iCs w:val="0"/>
          <w:sz w:val="24"/>
          <w:szCs w:val="24"/>
        </w:rPr>
      </w:pPr>
    </w:p>
    <w:p w14:paraId="340D2721" w14:textId="77777777" w:rsidR="00C03EC4" w:rsidRPr="00A021BD" w:rsidRDefault="00C03EC4" w:rsidP="00C03EC4">
      <w:pPr>
        <w:pStyle w:val="StylenormalENABEL"/>
        <w:rPr>
          <w:rStyle w:val="Accentuation"/>
          <w:rFonts w:asciiTheme="majorHAnsi" w:hAnsiTheme="majorHAnsi" w:cstheme="majorHAnsi"/>
          <w:b w:val="0"/>
          <w:i w:val="0"/>
          <w:iCs w:val="0"/>
          <w:sz w:val="24"/>
        </w:rPr>
      </w:pPr>
      <w:r w:rsidRPr="00A021BD">
        <w:rPr>
          <w:rStyle w:val="Accentuation"/>
          <w:rFonts w:asciiTheme="majorHAnsi" w:hAnsiTheme="majorHAnsi" w:cstheme="majorHAnsi"/>
          <w:b w:val="0"/>
          <w:i w:val="0"/>
          <w:iCs w:val="0"/>
          <w:sz w:val="24"/>
        </w:rPr>
        <w:t>Les projets et programmes identifiés en cours ou prévus pour la période de 2020- 2030 sont :</w:t>
      </w:r>
    </w:p>
    <w:p w14:paraId="77A2ED62" w14:textId="77777777" w:rsidR="00C03EC4" w:rsidRPr="002E75D4" w:rsidRDefault="00C03EC4" w:rsidP="00C03EC4">
      <w:pPr>
        <w:pStyle w:val="Paragraphedeliste"/>
        <w:numPr>
          <w:ilvl w:val="0"/>
          <w:numId w:val="37"/>
        </w:numPr>
        <w:spacing w:after="60" w:line="240" w:lineRule="auto"/>
        <w:contextualSpacing w:val="0"/>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La Stratégie de diffusion des techniques et technologies éprouvées par l’Approche CEP/CEAP au Mali (2021-2024) ;</w:t>
      </w:r>
    </w:p>
    <w:p w14:paraId="4079C4FC" w14:textId="77777777" w:rsidR="00C03EC4" w:rsidRPr="002E75D4" w:rsidRDefault="00C03EC4" w:rsidP="00C03EC4">
      <w:pPr>
        <w:pStyle w:val="Paragraphedeliste"/>
        <w:numPr>
          <w:ilvl w:val="0"/>
          <w:numId w:val="37"/>
        </w:numPr>
        <w:spacing w:after="60" w:line="240" w:lineRule="auto"/>
        <w:contextualSpacing w:val="0"/>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Le Programme de promotion de l’utilisation de la fumure organique et la localisation de l’urée (2022-2030) ;</w:t>
      </w:r>
    </w:p>
    <w:p w14:paraId="1A86BF1B" w14:textId="77777777" w:rsidR="00C03EC4" w:rsidRPr="002E75D4" w:rsidRDefault="00C03EC4" w:rsidP="00C03EC4">
      <w:pPr>
        <w:pStyle w:val="Paragraphedeliste"/>
        <w:numPr>
          <w:ilvl w:val="0"/>
          <w:numId w:val="37"/>
        </w:numPr>
        <w:spacing w:after="60" w:line="240" w:lineRule="auto"/>
        <w:contextualSpacing w:val="0"/>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Le Programme climat de la CMDT ;</w:t>
      </w:r>
    </w:p>
    <w:p w14:paraId="3E5E3431" w14:textId="77777777" w:rsidR="00C03EC4" w:rsidRPr="002E75D4" w:rsidRDefault="00C03EC4" w:rsidP="00C03EC4">
      <w:pPr>
        <w:pStyle w:val="Paragraphedeliste"/>
        <w:numPr>
          <w:ilvl w:val="0"/>
          <w:numId w:val="37"/>
        </w:numPr>
        <w:spacing w:after="60" w:line="240" w:lineRule="auto"/>
        <w:contextualSpacing w:val="0"/>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Le Programme de développement des capacités de production aquacole résiliente et durable adaptée aux changements climatiques et à la variabilité climatique au Mali ;</w:t>
      </w:r>
    </w:p>
    <w:p w14:paraId="3F051D48" w14:textId="77777777" w:rsidR="00C03EC4" w:rsidRPr="002E75D4" w:rsidRDefault="00C03EC4" w:rsidP="00C03EC4">
      <w:pPr>
        <w:pStyle w:val="Paragraphedeliste"/>
        <w:numPr>
          <w:ilvl w:val="0"/>
          <w:numId w:val="37"/>
        </w:numPr>
        <w:spacing w:after="60" w:line="240" w:lineRule="auto"/>
        <w:contextualSpacing w:val="0"/>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Le Projet d’Appui à la filière Halieutique (2018-2024) ;</w:t>
      </w:r>
    </w:p>
    <w:p w14:paraId="4241390F" w14:textId="77777777" w:rsidR="00C03EC4" w:rsidRPr="002E75D4" w:rsidRDefault="00C03EC4" w:rsidP="00C03EC4">
      <w:pPr>
        <w:pStyle w:val="Paragraphedeliste"/>
        <w:numPr>
          <w:ilvl w:val="0"/>
          <w:numId w:val="37"/>
        </w:numPr>
        <w:spacing w:after="60" w:line="240" w:lineRule="auto"/>
        <w:contextualSpacing w:val="0"/>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Les Projets de pisciculture avec les partenaires (ONUFEMMES) et autres ONG ;</w:t>
      </w:r>
    </w:p>
    <w:p w14:paraId="5B36CF7C" w14:textId="77777777" w:rsidR="00C03EC4" w:rsidRPr="002E75D4" w:rsidRDefault="00C03EC4" w:rsidP="00C03EC4">
      <w:pPr>
        <w:pStyle w:val="Paragraphedeliste"/>
        <w:numPr>
          <w:ilvl w:val="0"/>
          <w:numId w:val="37"/>
        </w:numPr>
        <w:spacing w:after="60" w:line="240" w:lineRule="auto"/>
        <w:contextualSpacing w:val="0"/>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Le Projet de développement d’une Agriculture Intelligente ;</w:t>
      </w:r>
    </w:p>
    <w:p w14:paraId="60C2BC7C" w14:textId="77777777" w:rsidR="00C03EC4" w:rsidRDefault="00C03EC4" w:rsidP="00C03EC4">
      <w:pPr>
        <w:pStyle w:val="Paragraphedeliste"/>
        <w:numPr>
          <w:ilvl w:val="0"/>
          <w:numId w:val="37"/>
        </w:numPr>
        <w:spacing w:after="60" w:line="240" w:lineRule="auto"/>
        <w:contextualSpacing w:val="0"/>
        <w:jc w:val="both"/>
        <w:rPr>
          <w:rStyle w:val="Accentuation"/>
          <w:rFonts w:asciiTheme="majorHAnsi" w:hAnsiTheme="majorHAnsi" w:cstheme="majorHAnsi"/>
          <w:b w:val="0"/>
          <w:bCs w:val="0"/>
          <w:i w:val="0"/>
          <w:iCs w:val="0"/>
          <w:sz w:val="24"/>
          <w:szCs w:val="24"/>
        </w:rPr>
      </w:pPr>
      <w:r w:rsidRPr="002E75D4">
        <w:rPr>
          <w:rStyle w:val="Accentuation"/>
          <w:rFonts w:asciiTheme="majorHAnsi" w:hAnsiTheme="majorHAnsi" w:cstheme="majorHAnsi"/>
          <w:b w:val="0"/>
          <w:bCs w:val="0"/>
          <w:i w:val="0"/>
          <w:iCs w:val="0"/>
          <w:sz w:val="24"/>
          <w:szCs w:val="24"/>
        </w:rPr>
        <w:t xml:space="preserve">Le Projet d’aménagement pastoral résilient aux changements climatiques. </w:t>
      </w:r>
    </w:p>
    <w:p w14:paraId="29C5C53A" w14:textId="77777777" w:rsidR="00C03EC4" w:rsidRPr="00F24A9E" w:rsidRDefault="00C03EC4" w:rsidP="00C03EC4">
      <w:pPr>
        <w:pStyle w:val="Paragraphedeliste"/>
        <w:spacing w:after="60" w:line="240" w:lineRule="auto"/>
        <w:contextualSpacing w:val="0"/>
        <w:jc w:val="both"/>
        <w:rPr>
          <w:rFonts w:asciiTheme="majorHAnsi" w:hAnsiTheme="majorHAnsi" w:cstheme="majorHAnsi"/>
          <w:spacing w:val="10"/>
          <w:sz w:val="24"/>
          <w:szCs w:val="24"/>
        </w:rPr>
      </w:pPr>
    </w:p>
    <w:p w14:paraId="232C164B" w14:textId="77777777" w:rsidR="00C03EC4" w:rsidRPr="00F24A9E" w:rsidRDefault="00C03EC4" w:rsidP="00C03EC4">
      <w:pPr>
        <w:pStyle w:val="Style1"/>
        <w:ind w:left="0"/>
        <w:rPr>
          <w:sz w:val="24"/>
          <w:szCs w:val="24"/>
        </w:rPr>
      </w:pPr>
      <w:r w:rsidRPr="00F24A9E">
        <w:rPr>
          <w:sz w:val="24"/>
          <w:szCs w:val="24"/>
        </w:rPr>
        <w:t>Bilan des émissions du secteur agriculture</w:t>
      </w:r>
    </w:p>
    <w:p w14:paraId="6D5FF503" w14:textId="77777777" w:rsidR="00C03EC4" w:rsidRPr="00F24A9E" w:rsidRDefault="00C03EC4" w:rsidP="00C03EC4">
      <w:pPr>
        <w:pStyle w:val="Style1"/>
        <w:ind w:left="0"/>
        <w:rPr>
          <w:rStyle w:val="Accentuation"/>
          <w:b/>
          <w:bCs w:val="0"/>
          <w:i w:val="0"/>
          <w:iCs/>
          <w:spacing w:val="0"/>
          <w:sz w:val="30"/>
          <w:szCs w:val="30"/>
        </w:rPr>
      </w:pPr>
    </w:p>
    <w:p w14:paraId="15477605" w14:textId="77777777" w:rsidR="00C03EC4" w:rsidRPr="002E75D4" w:rsidRDefault="00C03EC4" w:rsidP="00C03EC4">
      <w:pPr>
        <w:spacing w:line="240" w:lineRule="auto"/>
        <w:ind w:right="140"/>
        <w:jc w:val="both"/>
        <w:rPr>
          <w:rStyle w:val="Accentuation"/>
          <w:rFonts w:asciiTheme="majorHAnsi" w:hAnsiTheme="majorHAnsi" w:cstheme="majorHAnsi"/>
          <w:b w:val="0"/>
          <w:bCs w:val="0"/>
          <w:i w:val="0"/>
          <w:iCs w:val="0"/>
          <w:sz w:val="24"/>
          <w:szCs w:val="24"/>
        </w:rPr>
      </w:pPr>
      <w:r w:rsidRPr="007C42D7">
        <w:rPr>
          <w:rStyle w:val="Accentuation"/>
          <w:rFonts w:asciiTheme="majorHAnsi" w:hAnsiTheme="majorHAnsi" w:cstheme="majorHAnsi"/>
          <w:i w:val="0"/>
          <w:iCs w:val="0"/>
          <w:sz w:val="24"/>
          <w:szCs w:val="24"/>
          <w:u w:val="single"/>
        </w:rPr>
        <w:t>Tableau 12</w:t>
      </w:r>
      <w:r w:rsidRPr="002E75D4">
        <w:rPr>
          <w:rStyle w:val="Accentuation"/>
          <w:rFonts w:asciiTheme="majorHAnsi" w:hAnsiTheme="majorHAnsi" w:cstheme="majorHAnsi"/>
          <w:bCs w:val="0"/>
          <w:i w:val="0"/>
          <w:iCs w:val="0"/>
          <w:sz w:val="24"/>
          <w:szCs w:val="24"/>
        </w:rPr>
        <w:t xml:space="preserve"> :</w:t>
      </w:r>
      <w:r w:rsidRPr="002E75D4">
        <w:rPr>
          <w:rStyle w:val="Accentuation"/>
          <w:rFonts w:asciiTheme="majorHAnsi" w:hAnsiTheme="majorHAnsi" w:cstheme="majorHAnsi"/>
          <w:b w:val="0"/>
          <w:bCs w:val="0"/>
          <w:i w:val="0"/>
          <w:iCs w:val="0"/>
          <w:sz w:val="24"/>
          <w:szCs w:val="24"/>
        </w:rPr>
        <w:t xml:space="preserve"> Émissions de GES en KT eq CO2 sur la période 2020– 2030</w:t>
      </w:r>
    </w:p>
    <w:tbl>
      <w:tblPr>
        <w:tblStyle w:val="Grillemoyenne3-Accent1"/>
        <w:tblW w:w="5000" w:type="pct"/>
        <w:tblLook w:val="0420" w:firstRow="1" w:lastRow="0" w:firstColumn="0" w:lastColumn="0" w:noHBand="0" w:noVBand="1"/>
      </w:tblPr>
      <w:tblGrid>
        <w:gridCol w:w="2736"/>
        <w:gridCol w:w="3459"/>
        <w:gridCol w:w="3424"/>
      </w:tblGrid>
      <w:tr w:rsidR="00C03EC4" w:rsidRPr="002E75D4" w14:paraId="156626A4" w14:textId="77777777" w:rsidTr="000D6136">
        <w:trPr>
          <w:cnfStyle w:val="100000000000" w:firstRow="1" w:lastRow="0" w:firstColumn="0" w:lastColumn="0" w:oddVBand="0" w:evenVBand="0" w:oddHBand="0" w:evenHBand="0" w:firstRowFirstColumn="0" w:firstRowLastColumn="0" w:lastRowFirstColumn="0" w:lastRowLastColumn="0"/>
          <w:trHeight w:val="279"/>
        </w:trPr>
        <w:tc>
          <w:tcPr>
            <w:tcW w:w="1422" w:type="pct"/>
            <w:shd w:val="clear" w:color="auto" w:fill="C00000"/>
            <w:noWrap/>
            <w:vAlign w:val="top"/>
            <w:hideMark/>
          </w:tcPr>
          <w:p w14:paraId="71875017" w14:textId="77777777" w:rsidR="00C03EC4" w:rsidRPr="002E75D4" w:rsidRDefault="00C03EC4" w:rsidP="000D6136">
            <w:pPr>
              <w:spacing w:before="60"/>
              <w:ind w:left="-719" w:firstLine="719"/>
              <w:rPr>
                <w:rStyle w:val="Accentuation"/>
                <w:rFonts w:asciiTheme="majorHAnsi" w:hAnsiTheme="majorHAnsi" w:cstheme="majorHAnsi"/>
                <w:b/>
                <w:bCs/>
                <w:i w:val="0"/>
                <w:iCs w:val="0"/>
                <w:color w:val="auto"/>
                <w:sz w:val="24"/>
              </w:rPr>
            </w:pPr>
            <w:r w:rsidRPr="002E75D4">
              <w:rPr>
                <w:rStyle w:val="Accentuation"/>
                <w:rFonts w:asciiTheme="majorHAnsi" w:hAnsiTheme="majorHAnsi" w:cstheme="majorHAnsi"/>
                <w:b/>
                <w:bCs/>
                <w:i w:val="0"/>
                <w:iCs w:val="0"/>
                <w:color w:val="auto"/>
                <w:sz w:val="24"/>
              </w:rPr>
              <w:t>Années</w:t>
            </w:r>
          </w:p>
        </w:tc>
        <w:tc>
          <w:tcPr>
            <w:tcW w:w="1798" w:type="pct"/>
            <w:shd w:val="clear" w:color="auto" w:fill="002060"/>
            <w:vAlign w:val="top"/>
            <w:hideMark/>
          </w:tcPr>
          <w:p w14:paraId="6F187DFC" w14:textId="77777777" w:rsidR="00C03EC4" w:rsidRPr="002E75D4" w:rsidRDefault="00C03EC4" w:rsidP="000D6136">
            <w:pPr>
              <w:spacing w:before="60"/>
              <w:ind w:left="-719" w:firstLine="719"/>
              <w:rPr>
                <w:rStyle w:val="Accentuation"/>
                <w:rFonts w:asciiTheme="majorHAnsi" w:hAnsiTheme="majorHAnsi" w:cstheme="majorHAnsi"/>
                <w:b/>
                <w:bCs/>
                <w:i w:val="0"/>
                <w:iCs w:val="0"/>
                <w:color w:val="auto"/>
                <w:sz w:val="24"/>
              </w:rPr>
            </w:pPr>
            <w:r w:rsidRPr="002E75D4">
              <w:rPr>
                <w:rStyle w:val="Accentuation"/>
                <w:rFonts w:asciiTheme="majorHAnsi" w:hAnsiTheme="majorHAnsi" w:cstheme="majorHAnsi"/>
                <w:b/>
                <w:bCs/>
                <w:i w:val="0"/>
                <w:iCs w:val="0"/>
                <w:color w:val="auto"/>
                <w:sz w:val="24"/>
              </w:rPr>
              <w:t>Scénario de base</w:t>
            </w:r>
          </w:p>
        </w:tc>
        <w:tc>
          <w:tcPr>
            <w:tcW w:w="1781" w:type="pct"/>
            <w:shd w:val="clear" w:color="auto" w:fill="BF8F00" w:themeFill="accent4" w:themeFillShade="BF"/>
            <w:vAlign w:val="top"/>
            <w:hideMark/>
          </w:tcPr>
          <w:p w14:paraId="19A621AA" w14:textId="77777777" w:rsidR="00C03EC4" w:rsidRPr="002E75D4" w:rsidRDefault="00C03EC4" w:rsidP="000D6136">
            <w:pPr>
              <w:spacing w:before="60"/>
              <w:rPr>
                <w:rStyle w:val="Accentuation"/>
                <w:rFonts w:asciiTheme="majorHAnsi" w:hAnsiTheme="majorHAnsi" w:cstheme="majorHAnsi"/>
                <w:b/>
                <w:bCs/>
                <w:i w:val="0"/>
                <w:iCs w:val="0"/>
                <w:color w:val="auto"/>
              </w:rPr>
            </w:pPr>
            <w:r w:rsidRPr="002E75D4">
              <w:rPr>
                <w:rStyle w:val="Accentuation"/>
                <w:rFonts w:asciiTheme="majorHAnsi" w:hAnsiTheme="majorHAnsi" w:cstheme="majorHAnsi"/>
                <w:b/>
                <w:bCs/>
                <w:i w:val="0"/>
                <w:iCs w:val="0"/>
                <w:color w:val="auto"/>
                <w:sz w:val="24"/>
              </w:rPr>
              <w:t>Scénario d’atténuation</w:t>
            </w:r>
          </w:p>
        </w:tc>
      </w:tr>
      <w:tr w:rsidR="00C03EC4" w:rsidRPr="002E75D4" w14:paraId="7B128BF8" w14:textId="77777777" w:rsidTr="000D6136">
        <w:trPr>
          <w:cnfStyle w:val="000000100000" w:firstRow="0" w:lastRow="0" w:firstColumn="0" w:lastColumn="0" w:oddVBand="0" w:evenVBand="0" w:oddHBand="1" w:evenHBand="0" w:firstRowFirstColumn="0" w:firstRowLastColumn="0" w:lastRowFirstColumn="0" w:lastRowLastColumn="0"/>
          <w:trHeight w:val="315"/>
        </w:trPr>
        <w:tc>
          <w:tcPr>
            <w:tcW w:w="1422" w:type="pct"/>
            <w:shd w:val="clear" w:color="auto" w:fill="FFE1E1"/>
            <w:noWrap/>
            <w:hideMark/>
          </w:tcPr>
          <w:p w14:paraId="0AE517AE"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2020</w:t>
            </w:r>
          </w:p>
        </w:tc>
        <w:tc>
          <w:tcPr>
            <w:tcW w:w="1798" w:type="pct"/>
            <w:noWrap/>
            <w:hideMark/>
          </w:tcPr>
          <w:p w14:paraId="11CA273C"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76 667</w:t>
            </w:r>
          </w:p>
        </w:tc>
        <w:tc>
          <w:tcPr>
            <w:tcW w:w="1781" w:type="pct"/>
            <w:shd w:val="clear" w:color="auto" w:fill="FFE599" w:themeFill="accent4" w:themeFillTint="66"/>
            <w:hideMark/>
          </w:tcPr>
          <w:p w14:paraId="134FE50B"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76 667</w:t>
            </w:r>
          </w:p>
        </w:tc>
      </w:tr>
      <w:tr w:rsidR="00C03EC4" w:rsidRPr="002E75D4" w14:paraId="54EBB1CB" w14:textId="77777777" w:rsidTr="000D6136">
        <w:trPr>
          <w:trHeight w:val="300"/>
        </w:trPr>
        <w:tc>
          <w:tcPr>
            <w:tcW w:w="1422" w:type="pct"/>
            <w:shd w:val="clear" w:color="auto" w:fill="FFF3F3"/>
            <w:noWrap/>
            <w:hideMark/>
          </w:tcPr>
          <w:p w14:paraId="1190930C"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2021</w:t>
            </w:r>
          </w:p>
        </w:tc>
        <w:tc>
          <w:tcPr>
            <w:tcW w:w="1798" w:type="pct"/>
            <w:noWrap/>
            <w:hideMark/>
          </w:tcPr>
          <w:p w14:paraId="7265E0D7"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76 299</w:t>
            </w:r>
          </w:p>
        </w:tc>
        <w:tc>
          <w:tcPr>
            <w:tcW w:w="1781" w:type="pct"/>
            <w:shd w:val="clear" w:color="auto" w:fill="FFF2CC" w:themeFill="accent4" w:themeFillTint="33"/>
            <w:noWrap/>
            <w:hideMark/>
          </w:tcPr>
          <w:p w14:paraId="496F7BC3"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64 854</w:t>
            </w:r>
          </w:p>
        </w:tc>
      </w:tr>
      <w:tr w:rsidR="00C03EC4" w:rsidRPr="002E75D4" w14:paraId="2F4AF566" w14:textId="77777777" w:rsidTr="000D6136">
        <w:trPr>
          <w:cnfStyle w:val="000000100000" w:firstRow="0" w:lastRow="0" w:firstColumn="0" w:lastColumn="0" w:oddVBand="0" w:evenVBand="0" w:oddHBand="1" w:evenHBand="0" w:firstRowFirstColumn="0" w:firstRowLastColumn="0" w:lastRowFirstColumn="0" w:lastRowLastColumn="0"/>
          <w:trHeight w:val="315"/>
        </w:trPr>
        <w:tc>
          <w:tcPr>
            <w:tcW w:w="1422" w:type="pct"/>
            <w:shd w:val="clear" w:color="auto" w:fill="FFE1E1"/>
            <w:noWrap/>
            <w:hideMark/>
          </w:tcPr>
          <w:p w14:paraId="71109D4C"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2022</w:t>
            </w:r>
          </w:p>
        </w:tc>
        <w:tc>
          <w:tcPr>
            <w:tcW w:w="1798" w:type="pct"/>
            <w:noWrap/>
            <w:hideMark/>
          </w:tcPr>
          <w:p w14:paraId="256F63AC"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76 226</w:t>
            </w:r>
          </w:p>
        </w:tc>
        <w:tc>
          <w:tcPr>
            <w:tcW w:w="1781" w:type="pct"/>
            <w:shd w:val="clear" w:color="auto" w:fill="FFE599" w:themeFill="accent4" w:themeFillTint="66"/>
            <w:noWrap/>
            <w:hideMark/>
          </w:tcPr>
          <w:p w14:paraId="3D4F8916"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64 792</w:t>
            </w:r>
          </w:p>
        </w:tc>
      </w:tr>
      <w:tr w:rsidR="00C03EC4" w:rsidRPr="002E75D4" w14:paraId="44B0589F" w14:textId="77777777" w:rsidTr="000D6136">
        <w:trPr>
          <w:trHeight w:val="300"/>
        </w:trPr>
        <w:tc>
          <w:tcPr>
            <w:tcW w:w="1422" w:type="pct"/>
            <w:shd w:val="clear" w:color="auto" w:fill="FFF3F3"/>
            <w:noWrap/>
            <w:hideMark/>
          </w:tcPr>
          <w:p w14:paraId="69B50CD0"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2023</w:t>
            </w:r>
          </w:p>
        </w:tc>
        <w:tc>
          <w:tcPr>
            <w:tcW w:w="1798" w:type="pct"/>
            <w:noWrap/>
            <w:hideMark/>
          </w:tcPr>
          <w:p w14:paraId="61B981B2"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76 435</w:t>
            </w:r>
          </w:p>
        </w:tc>
        <w:tc>
          <w:tcPr>
            <w:tcW w:w="1781" w:type="pct"/>
            <w:shd w:val="clear" w:color="auto" w:fill="FFF2CC" w:themeFill="accent4" w:themeFillTint="33"/>
            <w:noWrap/>
            <w:hideMark/>
          </w:tcPr>
          <w:p w14:paraId="24B1665A"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61 148</w:t>
            </w:r>
          </w:p>
        </w:tc>
      </w:tr>
      <w:tr w:rsidR="00C03EC4" w:rsidRPr="002E75D4" w14:paraId="3C83BDE0" w14:textId="77777777" w:rsidTr="000D6136">
        <w:trPr>
          <w:cnfStyle w:val="000000100000" w:firstRow="0" w:lastRow="0" w:firstColumn="0" w:lastColumn="0" w:oddVBand="0" w:evenVBand="0" w:oddHBand="1" w:evenHBand="0" w:firstRowFirstColumn="0" w:firstRowLastColumn="0" w:lastRowFirstColumn="0" w:lastRowLastColumn="0"/>
          <w:trHeight w:val="315"/>
        </w:trPr>
        <w:tc>
          <w:tcPr>
            <w:tcW w:w="1422" w:type="pct"/>
            <w:shd w:val="clear" w:color="auto" w:fill="FFE1E1"/>
            <w:noWrap/>
            <w:hideMark/>
          </w:tcPr>
          <w:p w14:paraId="3C44A201"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2024</w:t>
            </w:r>
          </w:p>
        </w:tc>
        <w:tc>
          <w:tcPr>
            <w:tcW w:w="1798" w:type="pct"/>
            <w:noWrap/>
            <w:hideMark/>
          </w:tcPr>
          <w:p w14:paraId="3007DCD3"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76 913</w:t>
            </w:r>
          </w:p>
        </w:tc>
        <w:tc>
          <w:tcPr>
            <w:tcW w:w="1781" w:type="pct"/>
            <w:shd w:val="clear" w:color="auto" w:fill="FFE599" w:themeFill="accent4" w:themeFillTint="66"/>
            <w:noWrap/>
            <w:hideMark/>
          </w:tcPr>
          <w:p w14:paraId="38AF6A09"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61 530</w:t>
            </w:r>
          </w:p>
        </w:tc>
      </w:tr>
      <w:tr w:rsidR="00C03EC4" w:rsidRPr="002E75D4" w14:paraId="5EBBDCBA" w14:textId="77777777" w:rsidTr="000D6136">
        <w:trPr>
          <w:trHeight w:val="300"/>
        </w:trPr>
        <w:tc>
          <w:tcPr>
            <w:tcW w:w="1422" w:type="pct"/>
            <w:shd w:val="clear" w:color="auto" w:fill="FFF3F3"/>
            <w:noWrap/>
            <w:hideMark/>
          </w:tcPr>
          <w:p w14:paraId="251815B7"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2025</w:t>
            </w:r>
          </w:p>
        </w:tc>
        <w:tc>
          <w:tcPr>
            <w:tcW w:w="1798" w:type="pct"/>
            <w:noWrap/>
            <w:hideMark/>
          </w:tcPr>
          <w:p w14:paraId="2805D111"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77 648</w:t>
            </w:r>
          </w:p>
        </w:tc>
        <w:tc>
          <w:tcPr>
            <w:tcW w:w="1781" w:type="pct"/>
            <w:shd w:val="clear" w:color="auto" w:fill="FFF2CC" w:themeFill="accent4" w:themeFillTint="33"/>
            <w:noWrap/>
            <w:hideMark/>
          </w:tcPr>
          <w:p w14:paraId="02324CE0"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62 118</w:t>
            </w:r>
          </w:p>
        </w:tc>
      </w:tr>
      <w:tr w:rsidR="00C03EC4" w:rsidRPr="002E75D4" w14:paraId="59514DD0" w14:textId="77777777" w:rsidTr="000D6136">
        <w:trPr>
          <w:cnfStyle w:val="000000100000" w:firstRow="0" w:lastRow="0" w:firstColumn="0" w:lastColumn="0" w:oddVBand="0" w:evenVBand="0" w:oddHBand="1" w:evenHBand="0" w:firstRowFirstColumn="0" w:firstRowLastColumn="0" w:lastRowFirstColumn="0" w:lastRowLastColumn="0"/>
          <w:trHeight w:val="315"/>
        </w:trPr>
        <w:tc>
          <w:tcPr>
            <w:tcW w:w="1422" w:type="pct"/>
            <w:shd w:val="clear" w:color="auto" w:fill="FFE1E1"/>
            <w:noWrap/>
            <w:hideMark/>
          </w:tcPr>
          <w:p w14:paraId="680FC3FB"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2026</w:t>
            </w:r>
          </w:p>
        </w:tc>
        <w:tc>
          <w:tcPr>
            <w:tcW w:w="1798" w:type="pct"/>
            <w:noWrap/>
            <w:hideMark/>
          </w:tcPr>
          <w:p w14:paraId="3FDE610E"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78 631</w:t>
            </w:r>
          </w:p>
        </w:tc>
        <w:tc>
          <w:tcPr>
            <w:tcW w:w="1781" w:type="pct"/>
            <w:shd w:val="clear" w:color="auto" w:fill="FFE599" w:themeFill="accent4" w:themeFillTint="66"/>
            <w:noWrap/>
            <w:hideMark/>
          </w:tcPr>
          <w:p w14:paraId="513E2D01"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62 905</w:t>
            </w:r>
          </w:p>
        </w:tc>
      </w:tr>
      <w:tr w:rsidR="00C03EC4" w:rsidRPr="002E75D4" w14:paraId="77A22E0F" w14:textId="77777777" w:rsidTr="000D6136">
        <w:trPr>
          <w:trHeight w:val="300"/>
        </w:trPr>
        <w:tc>
          <w:tcPr>
            <w:tcW w:w="1422" w:type="pct"/>
            <w:shd w:val="clear" w:color="auto" w:fill="FFF3F3"/>
            <w:noWrap/>
            <w:hideMark/>
          </w:tcPr>
          <w:p w14:paraId="1F230539"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2027</w:t>
            </w:r>
          </w:p>
        </w:tc>
        <w:tc>
          <w:tcPr>
            <w:tcW w:w="1798" w:type="pct"/>
            <w:noWrap/>
            <w:hideMark/>
          </w:tcPr>
          <w:p w14:paraId="1D8C1B53"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79 855</w:t>
            </w:r>
          </w:p>
        </w:tc>
        <w:tc>
          <w:tcPr>
            <w:tcW w:w="1781" w:type="pct"/>
            <w:shd w:val="clear" w:color="auto" w:fill="FFF2CC" w:themeFill="accent4" w:themeFillTint="33"/>
            <w:noWrap/>
            <w:hideMark/>
          </w:tcPr>
          <w:p w14:paraId="2300FACC"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63 884</w:t>
            </w:r>
          </w:p>
        </w:tc>
      </w:tr>
      <w:tr w:rsidR="00C03EC4" w:rsidRPr="002E75D4" w14:paraId="71F020A3" w14:textId="77777777" w:rsidTr="000D6136">
        <w:trPr>
          <w:cnfStyle w:val="000000100000" w:firstRow="0" w:lastRow="0" w:firstColumn="0" w:lastColumn="0" w:oddVBand="0" w:evenVBand="0" w:oddHBand="1" w:evenHBand="0" w:firstRowFirstColumn="0" w:firstRowLastColumn="0" w:lastRowFirstColumn="0" w:lastRowLastColumn="0"/>
          <w:trHeight w:val="315"/>
        </w:trPr>
        <w:tc>
          <w:tcPr>
            <w:tcW w:w="1422" w:type="pct"/>
            <w:shd w:val="clear" w:color="auto" w:fill="FFE1E1"/>
            <w:noWrap/>
            <w:hideMark/>
          </w:tcPr>
          <w:p w14:paraId="23CE005E"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2028</w:t>
            </w:r>
          </w:p>
        </w:tc>
        <w:tc>
          <w:tcPr>
            <w:tcW w:w="1798" w:type="pct"/>
            <w:noWrap/>
            <w:hideMark/>
          </w:tcPr>
          <w:p w14:paraId="30F0E6FF"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81 311</w:t>
            </w:r>
          </w:p>
        </w:tc>
        <w:tc>
          <w:tcPr>
            <w:tcW w:w="1781" w:type="pct"/>
            <w:shd w:val="clear" w:color="auto" w:fill="FFE599" w:themeFill="accent4" w:themeFillTint="66"/>
            <w:noWrap/>
            <w:hideMark/>
          </w:tcPr>
          <w:p w14:paraId="24DA9E1A"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60 983</w:t>
            </w:r>
          </w:p>
        </w:tc>
      </w:tr>
      <w:tr w:rsidR="00C03EC4" w:rsidRPr="002E75D4" w14:paraId="4F0EF56B" w14:textId="77777777" w:rsidTr="000D6136">
        <w:trPr>
          <w:trHeight w:val="300"/>
        </w:trPr>
        <w:tc>
          <w:tcPr>
            <w:tcW w:w="1422" w:type="pct"/>
            <w:shd w:val="clear" w:color="auto" w:fill="FFF3F3"/>
            <w:noWrap/>
            <w:hideMark/>
          </w:tcPr>
          <w:p w14:paraId="2420FB36"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2029</w:t>
            </w:r>
          </w:p>
        </w:tc>
        <w:tc>
          <w:tcPr>
            <w:tcW w:w="1798" w:type="pct"/>
            <w:noWrap/>
            <w:hideMark/>
          </w:tcPr>
          <w:p w14:paraId="205212F9"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82 995</w:t>
            </w:r>
          </w:p>
        </w:tc>
        <w:tc>
          <w:tcPr>
            <w:tcW w:w="1781" w:type="pct"/>
            <w:shd w:val="clear" w:color="auto" w:fill="FFF2CC" w:themeFill="accent4" w:themeFillTint="33"/>
            <w:noWrap/>
            <w:hideMark/>
          </w:tcPr>
          <w:p w14:paraId="07AE9175"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62 247</w:t>
            </w:r>
          </w:p>
        </w:tc>
      </w:tr>
      <w:tr w:rsidR="00C03EC4" w:rsidRPr="002E75D4" w14:paraId="1C6927DF"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tcW w:w="1422" w:type="pct"/>
            <w:shd w:val="clear" w:color="auto" w:fill="FFE1E1"/>
            <w:noWrap/>
            <w:hideMark/>
          </w:tcPr>
          <w:p w14:paraId="0BE9E164"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2030</w:t>
            </w:r>
          </w:p>
        </w:tc>
        <w:tc>
          <w:tcPr>
            <w:tcW w:w="1798" w:type="pct"/>
            <w:noWrap/>
            <w:hideMark/>
          </w:tcPr>
          <w:p w14:paraId="267872CD"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84 903</w:t>
            </w:r>
          </w:p>
        </w:tc>
        <w:tc>
          <w:tcPr>
            <w:tcW w:w="1781" w:type="pct"/>
            <w:shd w:val="clear" w:color="auto" w:fill="FFE599" w:themeFill="accent4" w:themeFillTint="66"/>
            <w:noWrap/>
            <w:hideMark/>
          </w:tcPr>
          <w:p w14:paraId="75D8E229" w14:textId="77777777" w:rsidR="00C03EC4" w:rsidRPr="002E75D4" w:rsidRDefault="00C03EC4" w:rsidP="000D6136">
            <w:pPr>
              <w:spacing w:before="60"/>
              <w:ind w:left="-719" w:firstLine="719"/>
              <w:rPr>
                <w:rStyle w:val="Accentuation"/>
                <w:rFonts w:asciiTheme="majorHAnsi" w:hAnsiTheme="majorHAnsi" w:cstheme="majorHAnsi"/>
                <w:b w:val="0"/>
                <w:bCs w:val="0"/>
                <w:i w:val="0"/>
                <w:iCs w:val="0"/>
              </w:rPr>
            </w:pPr>
            <w:r w:rsidRPr="002E75D4">
              <w:rPr>
                <w:rStyle w:val="Accentuation"/>
                <w:rFonts w:asciiTheme="majorHAnsi" w:hAnsiTheme="majorHAnsi" w:cstheme="majorHAnsi"/>
                <w:b w:val="0"/>
                <w:bCs w:val="0"/>
                <w:i w:val="0"/>
                <w:iCs w:val="0"/>
              </w:rPr>
              <w:t>63 677</w:t>
            </w:r>
          </w:p>
        </w:tc>
      </w:tr>
    </w:tbl>
    <w:p w14:paraId="092B5BEC" w14:textId="77777777" w:rsidR="00C03EC4" w:rsidRPr="002E75D4" w:rsidRDefault="00C03EC4" w:rsidP="00C03EC4">
      <w:pPr>
        <w:autoSpaceDE w:val="0"/>
        <w:autoSpaceDN w:val="0"/>
        <w:adjustRightInd w:val="0"/>
        <w:jc w:val="both"/>
        <w:rPr>
          <w:rFonts w:asciiTheme="majorHAnsi" w:hAnsiTheme="majorHAnsi" w:cstheme="majorHAnsi"/>
          <w:sz w:val="24"/>
          <w:szCs w:val="24"/>
        </w:rPr>
      </w:pPr>
      <w:r w:rsidRPr="002E75D4">
        <w:rPr>
          <w:rFonts w:asciiTheme="majorHAnsi" w:hAnsiTheme="majorHAnsi" w:cstheme="majorHAnsi"/>
          <w:sz w:val="24"/>
          <w:szCs w:val="24"/>
        </w:rPr>
        <w:t>La figure ci-après résume la situation des prévisions des émissions et de l’atténuation des GES au niveau du secteur de l’Agriculture.</w:t>
      </w:r>
    </w:p>
    <w:p w14:paraId="5F723244" w14:textId="77777777" w:rsidR="00C03EC4" w:rsidRPr="002E75D4" w:rsidRDefault="00C03EC4" w:rsidP="00C03EC4">
      <w:pPr>
        <w:jc w:val="both"/>
        <w:rPr>
          <w:rFonts w:asciiTheme="majorHAnsi" w:eastAsia="Calibri" w:hAnsiTheme="majorHAnsi" w:cstheme="majorHAnsi"/>
          <w:sz w:val="24"/>
          <w:szCs w:val="24"/>
        </w:rPr>
      </w:pPr>
      <w:r w:rsidRPr="002E75D4">
        <w:rPr>
          <w:rFonts w:asciiTheme="majorHAnsi" w:hAnsiTheme="majorHAnsi" w:cstheme="majorHAnsi"/>
          <w:noProof/>
          <w:lang w:eastAsia="fr-FR"/>
        </w:rPr>
        <w:drawing>
          <wp:inline distT="0" distB="0" distL="0" distR="0" wp14:anchorId="360D66F2" wp14:editId="3B331341">
            <wp:extent cx="6327648" cy="3957320"/>
            <wp:effectExtent l="0" t="0" r="16510" b="2413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FF4A1F" w14:textId="77777777" w:rsidR="00C03EC4" w:rsidRPr="002E75D4" w:rsidRDefault="00C03EC4" w:rsidP="00C03EC4">
      <w:pPr>
        <w:pStyle w:val="Lgende"/>
        <w:rPr>
          <w:rFonts w:asciiTheme="majorHAnsi" w:hAnsiTheme="majorHAnsi" w:cstheme="majorHAnsi"/>
          <w:b w:val="0"/>
          <w:bCs w:val="0"/>
          <w:sz w:val="18"/>
          <w:szCs w:val="22"/>
        </w:rPr>
      </w:pPr>
      <w:r w:rsidRPr="007C42D7">
        <w:rPr>
          <w:rFonts w:asciiTheme="majorHAnsi" w:hAnsiTheme="majorHAnsi" w:cstheme="majorHAnsi"/>
          <w:bCs w:val="0"/>
          <w:sz w:val="22"/>
          <w:szCs w:val="22"/>
          <w:u w:val="single"/>
        </w:rPr>
        <w:t>Figure 12</w:t>
      </w:r>
      <w:r w:rsidRPr="002E75D4">
        <w:rPr>
          <w:rFonts w:asciiTheme="majorHAnsi" w:hAnsiTheme="majorHAnsi" w:cstheme="majorHAnsi"/>
          <w:bCs w:val="0"/>
          <w:sz w:val="22"/>
          <w:szCs w:val="22"/>
        </w:rPr>
        <w:t> :</w:t>
      </w:r>
      <w:r w:rsidRPr="002E75D4">
        <w:rPr>
          <w:rFonts w:asciiTheme="majorHAnsi" w:hAnsiTheme="majorHAnsi" w:cstheme="majorHAnsi"/>
          <w:b w:val="0"/>
          <w:bCs w:val="0"/>
          <w:sz w:val="22"/>
          <w:szCs w:val="22"/>
        </w:rPr>
        <w:t xml:space="preserve"> </w:t>
      </w:r>
      <w:r w:rsidRPr="002E75D4">
        <w:rPr>
          <w:rFonts w:asciiTheme="majorHAnsi" w:hAnsiTheme="majorHAnsi" w:cstheme="majorHAnsi"/>
          <w:b w:val="0"/>
          <w:bCs w:val="0"/>
          <w:szCs w:val="22"/>
        </w:rPr>
        <w:t>Courbes d’évolution des émissions des scenarios de base et d'atténuation pour la période 2020-2030</w:t>
      </w:r>
    </w:p>
    <w:p w14:paraId="6ECB64EB" w14:textId="77777777" w:rsidR="00C03EC4" w:rsidRPr="002E75D4" w:rsidRDefault="00C03EC4" w:rsidP="00C03EC4">
      <w:pPr>
        <w:shd w:val="clear" w:color="auto" w:fill="FFFFFF" w:themeFill="background1"/>
        <w:spacing w:line="240" w:lineRule="auto"/>
        <w:jc w:val="both"/>
        <w:rPr>
          <w:rFonts w:asciiTheme="majorHAnsi" w:hAnsiTheme="majorHAnsi" w:cstheme="majorHAnsi"/>
        </w:rPr>
      </w:pPr>
    </w:p>
    <w:p w14:paraId="0BEB8D86" w14:textId="77777777" w:rsidR="00C03EC4" w:rsidRPr="002E75D4" w:rsidRDefault="00C03EC4" w:rsidP="00C03EC4">
      <w:pPr>
        <w:shd w:val="clear" w:color="auto" w:fill="FFFFFF" w:themeFill="background1"/>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prévisions d’émissions de GES dans l’horizon 2030 sont respectivement de </w:t>
      </w:r>
      <w:r w:rsidRPr="002E75D4">
        <w:rPr>
          <w:rFonts w:asciiTheme="majorHAnsi" w:hAnsiTheme="majorHAnsi" w:cstheme="majorHAnsi"/>
          <w:bCs/>
          <w:sz w:val="24"/>
          <w:szCs w:val="24"/>
        </w:rPr>
        <w:t>84 903 KT Eq CO2</w:t>
      </w:r>
      <w:r w:rsidRPr="002E75D4">
        <w:rPr>
          <w:rFonts w:asciiTheme="majorHAnsi" w:hAnsiTheme="majorHAnsi" w:cstheme="majorHAnsi"/>
          <w:sz w:val="24"/>
          <w:szCs w:val="24"/>
        </w:rPr>
        <w:t xml:space="preserve"> pour le scénario de base et de </w:t>
      </w:r>
      <w:r w:rsidRPr="002E75D4">
        <w:rPr>
          <w:rFonts w:asciiTheme="majorHAnsi" w:hAnsiTheme="majorHAnsi" w:cstheme="majorHAnsi"/>
          <w:bCs/>
          <w:sz w:val="24"/>
          <w:szCs w:val="24"/>
        </w:rPr>
        <w:t>63 677 KT eq CO2</w:t>
      </w:r>
      <w:r w:rsidRPr="002E75D4">
        <w:rPr>
          <w:rFonts w:asciiTheme="majorHAnsi" w:hAnsiTheme="majorHAnsi" w:cstheme="majorHAnsi"/>
          <w:sz w:val="24"/>
          <w:szCs w:val="24"/>
        </w:rPr>
        <w:t xml:space="preserve"> pour le scénario d’atténuation Ainsi, la mise en œuvre de différents programmes d’atténuation permettra de baisser les émissions de GES au niveau du secteur de l’agriculture de </w:t>
      </w:r>
      <w:r w:rsidRPr="002E75D4">
        <w:rPr>
          <w:rFonts w:asciiTheme="majorHAnsi" w:hAnsiTheme="majorHAnsi" w:cstheme="majorHAnsi"/>
          <w:bCs/>
          <w:sz w:val="24"/>
          <w:szCs w:val="24"/>
        </w:rPr>
        <w:t>25%</w:t>
      </w:r>
      <w:r w:rsidRPr="002E75D4">
        <w:rPr>
          <w:rFonts w:asciiTheme="majorHAnsi" w:hAnsiTheme="majorHAnsi" w:cstheme="majorHAnsi"/>
          <w:sz w:val="24"/>
          <w:szCs w:val="24"/>
        </w:rPr>
        <w:t xml:space="preserve"> (soit </w:t>
      </w:r>
      <w:r w:rsidRPr="002E75D4">
        <w:rPr>
          <w:rFonts w:asciiTheme="majorHAnsi" w:hAnsiTheme="majorHAnsi" w:cstheme="majorHAnsi"/>
          <w:bCs/>
          <w:sz w:val="24"/>
          <w:szCs w:val="24"/>
        </w:rPr>
        <w:t>21 226 KT eq CO2</w:t>
      </w:r>
      <w:r w:rsidRPr="002E75D4">
        <w:rPr>
          <w:rFonts w:asciiTheme="majorHAnsi" w:hAnsiTheme="majorHAnsi" w:cstheme="majorHAnsi"/>
          <w:sz w:val="24"/>
          <w:szCs w:val="24"/>
        </w:rPr>
        <w:t>).</w:t>
      </w:r>
    </w:p>
    <w:p w14:paraId="66A114C9" w14:textId="77777777" w:rsidR="00C03EC4" w:rsidRDefault="00C03EC4" w:rsidP="00C03EC4">
      <w:pPr>
        <w:shd w:val="clear" w:color="auto" w:fill="FFFFFF" w:themeFill="background1"/>
        <w:spacing w:line="240" w:lineRule="auto"/>
        <w:jc w:val="both"/>
        <w:rPr>
          <w:rFonts w:asciiTheme="majorHAnsi" w:eastAsia="Calibri" w:hAnsiTheme="majorHAnsi" w:cstheme="majorHAnsi"/>
          <w:sz w:val="24"/>
          <w:szCs w:val="24"/>
        </w:rPr>
      </w:pPr>
      <w:r w:rsidRPr="002E75D4">
        <w:rPr>
          <w:rFonts w:asciiTheme="majorHAnsi" w:hAnsiTheme="majorHAnsi" w:cstheme="majorHAnsi"/>
          <w:sz w:val="24"/>
          <w:szCs w:val="24"/>
        </w:rPr>
        <w:t>Le coût du scénario d’atténuation est de 150,8 millions</w:t>
      </w:r>
      <w:r w:rsidRPr="002E75D4">
        <w:rPr>
          <w:rFonts w:asciiTheme="majorHAnsi" w:eastAsia="Calibri" w:hAnsiTheme="majorHAnsi" w:cstheme="majorHAnsi"/>
          <w:sz w:val="24"/>
          <w:szCs w:val="24"/>
        </w:rPr>
        <w:t xml:space="preserve"> $US pour l’agriculture et de 164,8 </w:t>
      </w:r>
      <w:r w:rsidRPr="002E75D4">
        <w:rPr>
          <w:rFonts w:asciiTheme="majorHAnsi" w:hAnsiTheme="majorHAnsi" w:cstheme="majorHAnsi"/>
          <w:sz w:val="24"/>
          <w:szCs w:val="24"/>
        </w:rPr>
        <w:t>millions</w:t>
      </w:r>
      <w:r w:rsidRPr="002E75D4">
        <w:rPr>
          <w:rFonts w:asciiTheme="majorHAnsi" w:eastAsia="Calibri" w:hAnsiTheme="majorHAnsi" w:cstheme="majorHAnsi"/>
          <w:sz w:val="24"/>
          <w:szCs w:val="24"/>
        </w:rPr>
        <w:t xml:space="preserve"> $US pour l’élevage soit un total de315,6 </w:t>
      </w:r>
      <w:r w:rsidRPr="002E75D4">
        <w:rPr>
          <w:rFonts w:asciiTheme="majorHAnsi" w:hAnsiTheme="majorHAnsi" w:cstheme="majorHAnsi"/>
          <w:sz w:val="24"/>
          <w:szCs w:val="24"/>
        </w:rPr>
        <w:t>millions</w:t>
      </w:r>
      <w:r w:rsidRPr="002E75D4">
        <w:rPr>
          <w:rFonts w:asciiTheme="majorHAnsi" w:eastAsia="Calibri" w:hAnsiTheme="majorHAnsi" w:cstheme="majorHAnsi"/>
          <w:sz w:val="24"/>
          <w:szCs w:val="24"/>
        </w:rPr>
        <w:t xml:space="preserve"> $US pour le secteur.</w:t>
      </w:r>
      <w:bookmarkStart w:id="7" w:name="_Toc66454270"/>
      <w:bookmarkStart w:id="8" w:name="_Toc66454272"/>
    </w:p>
    <w:p w14:paraId="4CA74B52" w14:textId="77777777" w:rsidR="00C03EC4" w:rsidRPr="005F51BC" w:rsidRDefault="00C03EC4" w:rsidP="00C03EC4">
      <w:pPr>
        <w:shd w:val="clear" w:color="auto" w:fill="FFFFFF" w:themeFill="background1"/>
        <w:spacing w:line="240" w:lineRule="auto"/>
        <w:jc w:val="both"/>
        <w:rPr>
          <w:rFonts w:asciiTheme="majorHAnsi" w:eastAsia="Calibri" w:hAnsiTheme="majorHAnsi" w:cstheme="majorHAnsi"/>
          <w:sz w:val="30"/>
          <w:szCs w:val="30"/>
        </w:rPr>
      </w:pPr>
      <w:r w:rsidRPr="005F51BC">
        <w:rPr>
          <w:rFonts w:eastAsia="Calibri" w:cstheme="majorHAnsi"/>
          <w:b/>
          <w:sz w:val="30"/>
          <w:szCs w:val="30"/>
          <w:shd w:val="clear" w:color="auto" w:fill="FFFFFF" w:themeFill="background1"/>
        </w:rPr>
        <w:t xml:space="preserve">3.2.3.  Émissions dans le secteur de la Foresterie et </w:t>
      </w:r>
      <w:r w:rsidRPr="005F51BC">
        <w:rPr>
          <w:rFonts w:cstheme="majorHAnsi"/>
          <w:b/>
          <w:sz w:val="30"/>
          <w:szCs w:val="30"/>
          <w:shd w:val="clear" w:color="auto" w:fill="FFFFFF" w:themeFill="background1"/>
        </w:rPr>
        <w:t>des Écosystèmes</w:t>
      </w:r>
      <w:r w:rsidRPr="005F51BC">
        <w:rPr>
          <w:rFonts w:eastAsia="Calibri" w:cstheme="majorHAnsi"/>
          <w:b/>
          <w:sz w:val="30"/>
          <w:szCs w:val="30"/>
          <w:shd w:val="clear" w:color="auto" w:fill="FFFFFF" w:themeFill="background1"/>
        </w:rPr>
        <w:t xml:space="preserve"> </w:t>
      </w:r>
      <w:bookmarkEnd w:id="7"/>
      <w:r w:rsidRPr="005F51BC">
        <w:rPr>
          <w:rFonts w:cstheme="majorHAnsi"/>
          <w:b/>
          <w:sz w:val="30"/>
          <w:szCs w:val="30"/>
          <w:shd w:val="clear" w:color="auto" w:fill="FFFFFF" w:themeFill="background1"/>
        </w:rPr>
        <w:t>pour la</w:t>
      </w:r>
      <w:r w:rsidRPr="005F51BC">
        <w:rPr>
          <w:rFonts w:cstheme="majorHAnsi"/>
          <w:b/>
          <w:sz w:val="30"/>
          <w:szCs w:val="30"/>
        </w:rPr>
        <w:t xml:space="preserve"> période 2020-2030</w:t>
      </w:r>
    </w:p>
    <w:p w14:paraId="49015CA2" w14:textId="77777777" w:rsidR="00C03EC4" w:rsidRPr="005F51BC" w:rsidRDefault="00C03EC4" w:rsidP="00C03EC4">
      <w:pPr>
        <w:pStyle w:val="Style1"/>
        <w:ind w:left="0"/>
        <w:rPr>
          <w:sz w:val="24"/>
          <w:szCs w:val="24"/>
        </w:rPr>
      </w:pPr>
      <w:r w:rsidRPr="005F51BC">
        <w:rPr>
          <w:sz w:val="24"/>
          <w:szCs w:val="24"/>
        </w:rPr>
        <w:t xml:space="preserve">Politiques et stratégies </w:t>
      </w:r>
      <w:r w:rsidRPr="005F51BC">
        <w:rPr>
          <w:spacing w:val="-4"/>
          <w:sz w:val="24"/>
          <w:szCs w:val="24"/>
        </w:rPr>
        <w:t>sur</w:t>
      </w:r>
      <w:r w:rsidRPr="005F51BC">
        <w:rPr>
          <w:spacing w:val="10"/>
          <w:sz w:val="24"/>
          <w:szCs w:val="24"/>
        </w:rPr>
        <w:t xml:space="preserve"> </w:t>
      </w:r>
      <w:r w:rsidRPr="005F51BC">
        <w:rPr>
          <w:spacing w:val="-3"/>
          <w:sz w:val="24"/>
          <w:szCs w:val="24"/>
        </w:rPr>
        <w:t>lesquelles</w:t>
      </w:r>
      <w:r w:rsidRPr="005F51BC">
        <w:rPr>
          <w:spacing w:val="15"/>
          <w:sz w:val="24"/>
          <w:szCs w:val="24"/>
        </w:rPr>
        <w:t xml:space="preserve"> </w:t>
      </w:r>
      <w:r w:rsidRPr="005F51BC">
        <w:rPr>
          <w:spacing w:val="-5"/>
          <w:sz w:val="24"/>
          <w:szCs w:val="24"/>
        </w:rPr>
        <w:t>s’appuie</w:t>
      </w:r>
      <w:r w:rsidRPr="005F51BC">
        <w:rPr>
          <w:spacing w:val="21"/>
          <w:sz w:val="24"/>
          <w:szCs w:val="24"/>
        </w:rPr>
        <w:t xml:space="preserve"> </w:t>
      </w:r>
      <w:r w:rsidRPr="005F51BC">
        <w:rPr>
          <w:sz w:val="24"/>
          <w:szCs w:val="24"/>
        </w:rPr>
        <w:t>la</w:t>
      </w:r>
      <w:r w:rsidRPr="005F51BC">
        <w:rPr>
          <w:spacing w:val="-2"/>
          <w:sz w:val="24"/>
          <w:szCs w:val="24"/>
        </w:rPr>
        <w:t xml:space="preserve"> </w:t>
      </w:r>
      <w:r w:rsidRPr="005F51BC">
        <w:rPr>
          <w:sz w:val="24"/>
          <w:szCs w:val="24"/>
        </w:rPr>
        <w:t>prospective</w:t>
      </w:r>
      <w:bookmarkEnd w:id="8"/>
    </w:p>
    <w:p w14:paraId="544B9681" w14:textId="77777777" w:rsidR="00C03EC4" w:rsidRPr="00A021BD" w:rsidRDefault="00C03EC4" w:rsidP="00C03EC4">
      <w:pPr>
        <w:pStyle w:val="Corpsdetexte"/>
        <w:ind w:right="147"/>
        <w:rPr>
          <w:rStyle w:val="Accentuation"/>
          <w:rFonts w:asciiTheme="majorHAnsi" w:hAnsiTheme="majorHAnsi" w:cstheme="majorHAnsi"/>
          <w:b w:val="0"/>
          <w:bCs w:val="0"/>
          <w:iCs w:val="0"/>
          <w:sz w:val="30"/>
          <w:szCs w:val="30"/>
        </w:rPr>
      </w:pPr>
    </w:p>
    <w:p w14:paraId="72D9C307" w14:textId="77777777" w:rsidR="00C03EC4" w:rsidRPr="002E75D4" w:rsidRDefault="00C03EC4" w:rsidP="00C03EC4">
      <w:pPr>
        <w:pStyle w:val="Corpsdetexte"/>
        <w:ind w:right="147"/>
        <w:rPr>
          <w:rFonts w:asciiTheme="majorHAnsi" w:hAnsiTheme="majorHAnsi" w:cstheme="majorHAnsi"/>
          <w:i w:val="0"/>
          <w:spacing w:val="2"/>
          <w:sz w:val="24"/>
          <w:lang w:val="fr-FR"/>
        </w:rPr>
      </w:pPr>
      <w:r w:rsidRPr="002E75D4">
        <w:rPr>
          <w:rFonts w:asciiTheme="majorHAnsi" w:hAnsiTheme="majorHAnsi" w:cstheme="majorHAnsi"/>
          <w:i w:val="0"/>
          <w:spacing w:val="2"/>
          <w:sz w:val="24"/>
          <w:lang w:val="fr-FR"/>
        </w:rPr>
        <w:t>Les scénarios d’atténuation de GES dans le secteur de la foresterie ont été développés sur la base des Politiques nationales en matière forestière, environnementale et changements climatiques et des stratégies afférentes ainsi que des actions résultantes.</w:t>
      </w:r>
    </w:p>
    <w:p w14:paraId="271BE086" w14:textId="77777777" w:rsidR="00C03EC4" w:rsidRPr="002E75D4" w:rsidRDefault="00C03EC4" w:rsidP="00C03EC4">
      <w:pPr>
        <w:pStyle w:val="Corpsdetexte"/>
        <w:spacing w:before="112"/>
        <w:rPr>
          <w:rFonts w:asciiTheme="majorHAnsi" w:hAnsiTheme="majorHAnsi" w:cstheme="majorHAnsi"/>
          <w:i w:val="0"/>
          <w:sz w:val="24"/>
          <w:lang w:val="fr-FR"/>
        </w:rPr>
      </w:pPr>
      <w:r w:rsidRPr="002E75D4">
        <w:rPr>
          <w:rFonts w:asciiTheme="majorHAnsi" w:hAnsiTheme="majorHAnsi" w:cstheme="majorHAnsi"/>
          <w:i w:val="0"/>
          <w:spacing w:val="1"/>
          <w:sz w:val="24"/>
          <w:lang w:val="fr-FR"/>
        </w:rPr>
        <w:t xml:space="preserve">Les </w:t>
      </w:r>
      <w:r w:rsidRPr="002E75D4">
        <w:rPr>
          <w:rFonts w:asciiTheme="majorHAnsi" w:hAnsiTheme="majorHAnsi" w:cstheme="majorHAnsi"/>
          <w:i w:val="0"/>
          <w:spacing w:val="-1"/>
          <w:sz w:val="24"/>
          <w:lang w:val="fr-FR"/>
        </w:rPr>
        <w:t>politiques,</w:t>
      </w:r>
      <w:r w:rsidRPr="002E75D4">
        <w:rPr>
          <w:rFonts w:asciiTheme="majorHAnsi" w:hAnsiTheme="majorHAnsi" w:cstheme="majorHAnsi"/>
          <w:i w:val="0"/>
          <w:spacing w:val="-11"/>
          <w:sz w:val="24"/>
          <w:lang w:val="fr-FR"/>
        </w:rPr>
        <w:t xml:space="preserve"> </w:t>
      </w:r>
      <w:r w:rsidRPr="002E75D4">
        <w:rPr>
          <w:rFonts w:asciiTheme="majorHAnsi" w:hAnsiTheme="majorHAnsi" w:cstheme="majorHAnsi"/>
          <w:i w:val="0"/>
          <w:spacing w:val="-2"/>
          <w:sz w:val="24"/>
          <w:lang w:val="fr-FR"/>
        </w:rPr>
        <w:t>plans</w:t>
      </w:r>
      <w:r w:rsidRPr="002E75D4">
        <w:rPr>
          <w:rFonts w:asciiTheme="majorHAnsi" w:hAnsiTheme="majorHAnsi" w:cstheme="majorHAnsi"/>
          <w:i w:val="0"/>
          <w:spacing w:val="15"/>
          <w:sz w:val="24"/>
          <w:lang w:val="fr-FR"/>
        </w:rPr>
        <w:t xml:space="preserve"> </w:t>
      </w:r>
      <w:r w:rsidRPr="002E75D4">
        <w:rPr>
          <w:rFonts w:asciiTheme="majorHAnsi" w:hAnsiTheme="majorHAnsi" w:cstheme="majorHAnsi"/>
          <w:i w:val="0"/>
          <w:sz w:val="24"/>
          <w:lang w:val="fr-FR"/>
        </w:rPr>
        <w:t>et</w:t>
      </w:r>
      <w:r w:rsidRPr="002E75D4">
        <w:rPr>
          <w:rFonts w:asciiTheme="majorHAnsi" w:hAnsiTheme="majorHAnsi" w:cstheme="majorHAnsi"/>
          <w:i w:val="0"/>
          <w:spacing w:val="-15"/>
          <w:sz w:val="24"/>
          <w:lang w:val="fr-FR"/>
        </w:rPr>
        <w:t xml:space="preserve"> </w:t>
      </w:r>
      <w:r w:rsidRPr="002E75D4">
        <w:rPr>
          <w:rFonts w:asciiTheme="majorHAnsi" w:hAnsiTheme="majorHAnsi" w:cstheme="majorHAnsi"/>
          <w:i w:val="0"/>
          <w:spacing w:val="-5"/>
          <w:sz w:val="24"/>
          <w:lang w:val="fr-FR"/>
        </w:rPr>
        <w:t>p</w:t>
      </w:r>
      <w:r w:rsidRPr="002E75D4">
        <w:rPr>
          <w:rFonts w:asciiTheme="majorHAnsi" w:hAnsiTheme="majorHAnsi" w:cstheme="majorHAnsi"/>
          <w:i w:val="0"/>
          <w:spacing w:val="-6"/>
          <w:sz w:val="24"/>
          <w:lang w:val="fr-FR"/>
        </w:rPr>
        <w:t>r</w:t>
      </w:r>
      <w:r w:rsidRPr="002E75D4">
        <w:rPr>
          <w:rFonts w:asciiTheme="majorHAnsi" w:hAnsiTheme="majorHAnsi" w:cstheme="majorHAnsi"/>
          <w:i w:val="0"/>
          <w:spacing w:val="-5"/>
          <w:sz w:val="24"/>
          <w:lang w:val="fr-FR"/>
        </w:rPr>
        <w:t>ogrammes</w:t>
      </w:r>
      <w:r w:rsidRPr="002E75D4">
        <w:rPr>
          <w:rFonts w:asciiTheme="majorHAnsi" w:hAnsiTheme="majorHAnsi" w:cstheme="majorHAnsi"/>
          <w:i w:val="0"/>
          <w:spacing w:val="44"/>
          <w:sz w:val="24"/>
          <w:lang w:val="fr-FR"/>
        </w:rPr>
        <w:t xml:space="preserve"> </w:t>
      </w:r>
      <w:r w:rsidRPr="002E75D4">
        <w:rPr>
          <w:rFonts w:asciiTheme="majorHAnsi" w:hAnsiTheme="majorHAnsi" w:cstheme="majorHAnsi"/>
          <w:i w:val="0"/>
          <w:spacing w:val="1"/>
          <w:sz w:val="24"/>
          <w:lang w:val="fr-FR"/>
        </w:rPr>
        <w:t>sur</w:t>
      </w:r>
      <w:r w:rsidRPr="002E75D4">
        <w:rPr>
          <w:rFonts w:asciiTheme="majorHAnsi" w:hAnsiTheme="majorHAnsi" w:cstheme="majorHAnsi"/>
          <w:i w:val="0"/>
          <w:spacing w:val="-4"/>
          <w:sz w:val="24"/>
          <w:lang w:val="fr-FR"/>
        </w:rPr>
        <w:t xml:space="preserve"> </w:t>
      </w:r>
      <w:r w:rsidRPr="002E75D4">
        <w:rPr>
          <w:rFonts w:asciiTheme="majorHAnsi" w:hAnsiTheme="majorHAnsi" w:cstheme="majorHAnsi"/>
          <w:i w:val="0"/>
          <w:spacing w:val="1"/>
          <w:sz w:val="24"/>
          <w:lang w:val="fr-FR"/>
        </w:rPr>
        <w:t>lesquels</w:t>
      </w:r>
      <w:r w:rsidRPr="002E75D4">
        <w:rPr>
          <w:rFonts w:asciiTheme="majorHAnsi" w:hAnsiTheme="majorHAnsi" w:cstheme="majorHAnsi"/>
          <w:i w:val="0"/>
          <w:sz w:val="24"/>
          <w:lang w:val="fr-FR"/>
        </w:rPr>
        <w:t xml:space="preserve"> s’appuie</w:t>
      </w:r>
      <w:r w:rsidRPr="002E75D4">
        <w:rPr>
          <w:rFonts w:asciiTheme="majorHAnsi" w:hAnsiTheme="majorHAnsi" w:cstheme="majorHAnsi"/>
          <w:i w:val="0"/>
          <w:spacing w:val="-10"/>
          <w:sz w:val="24"/>
          <w:lang w:val="fr-FR"/>
        </w:rPr>
        <w:t xml:space="preserve"> </w:t>
      </w:r>
      <w:r w:rsidRPr="002E75D4">
        <w:rPr>
          <w:rFonts w:asciiTheme="majorHAnsi" w:hAnsiTheme="majorHAnsi" w:cstheme="majorHAnsi"/>
          <w:i w:val="0"/>
          <w:spacing w:val="-2"/>
          <w:sz w:val="24"/>
          <w:lang w:val="fr-FR"/>
        </w:rPr>
        <w:t>cette</w:t>
      </w:r>
      <w:r w:rsidRPr="002E75D4">
        <w:rPr>
          <w:rFonts w:asciiTheme="majorHAnsi" w:hAnsiTheme="majorHAnsi" w:cstheme="majorHAnsi"/>
          <w:i w:val="0"/>
          <w:spacing w:val="6"/>
          <w:sz w:val="24"/>
          <w:lang w:val="fr-FR"/>
        </w:rPr>
        <w:t xml:space="preserve"> </w:t>
      </w:r>
      <w:r w:rsidRPr="002E75D4">
        <w:rPr>
          <w:rFonts w:asciiTheme="majorHAnsi" w:hAnsiTheme="majorHAnsi" w:cstheme="majorHAnsi"/>
          <w:i w:val="0"/>
          <w:spacing w:val="-2"/>
          <w:sz w:val="24"/>
          <w:lang w:val="fr-FR"/>
        </w:rPr>
        <w:t>prospective</w:t>
      </w:r>
      <w:r w:rsidRPr="002E75D4">
        <w:rPr>
          <w:rFonts w:asciiTheme="majorHAnsi" w:hAnsiTheme="majorHAnsi" w:cstheme="majorHAnsi"/>
          <w:i w:val="0"/>
          <w:spacing w:val="16"/>
          <w:sz w:val="24"/>
          <w:lang w:val="fr-FR"/>
        </w:rPr>
        <w:t xml:space="preserve"> </w:t>
      </w:r>
      <w:r w:rsidRPr="002E75D4">
        <w:rPr>
          <w:rFonts w:asciiTheme="majorHAnsi" w:hAnsiTheme="majorHAnsi" w:cstheme="majorHAnsi"/>
          <w:i w:val="0"/>
          <w:spacing w:val="-1"/>
          <w:sz w:val="24"/>
          <w:lang w:val="fr-FR"/>
        </w:rPr>
        <w:t>sont</w:t>
      </w:r>
      <w:r w:rsidRPr="002E75D4">
        <w:rPr>
          <w:rFonts w:asciiTheme="majorHAnsi" w:hAnsiTheme="majorHAnsi" w:cstheme="majorHAnsi"/>
          <w:i w:val="0"/>
          <w:sz w:val="24"/>
          <w:lang w:val="fr-FR"/>
        </w:rPr>
        <w:t xml:space="preserve"> :</w:t>
      </w:r>
    </w:p>
    <w:p w14:paraId="73814D9E" w14:textId="77777777" w:rsidR="00C03EC4" w:rsidRPr="002E75D4" w:rsidRDefault="00C03EC4" w:rsidP="00C03EC4">
      <w:pPr>
        <w:pStyle w:val="Sansinterligne"/>
        <w:numPr>
          <w:ilvl w:val="0"/>
          <w:numId w:val="38"/>
        </w:numPr>
        <w:spacing w:before="120"/>
        <w:jc w:val="both"/>
        <w:rPr>
          <w:rFonts w:asciiTheme="majorHAnsi" w:hAnsiTheme="majorHAnsi" w:cstheme="majorHAnsi"/>
          <w:sz w:val="24"/>
          <w:szCs w:val="24"/>
        </w:rPr>
      </w:pPr>
      <w:r w:rsidRPr="002E75D4">
        <w:rPr>
          <w:rFonts w:asciiTheme="majorHAnsi" w:hAnsiTheme="majorHAnsi" w:cstheme="majorHAnsi"/>
          <w:sz w:val="24"/>
          <w:szCs w:val="24"/>
        </w:rPr>
        <w:t>La Politique Nationale des Changements Climatiques, sa stratégie et son plan d’action ;</w:t>
      </w:r>
    </w:p>
    <w:p w14:paraId="428B978A" w14:textId="77777777" w:rsidR="00C03EC4" w:rsidRPr="002E75D4" w:rsidRDefault="00C03EC4" w:rsidP="00C03EC4">
      <w:pPr>
        <w:pStyle w:val="Sansinterligne"/>
        <w:numPr>
          <w:ilvl w:val="0"/>
          <w:numId w:val="38"/>
        </w:numPr>
        <w:spacing w:before="120"/>
        <w:jc w:val="both"/>
        <w:rPr>
          <w:rFonts w:asciiTheme="majorHAnsi" w:hAnsiTheme="majorHAnsi" w:cstheme="majorHAnsi"/>
          <w:sz w:val="24"/>
          <w:szCs w:val="24"/>
        </w:rPr>
      </w:pPr>
      <w:r w:rsidRPr="002E75D4">
        <w:rPr>
          <w:rFonts w:asciiTheme="majorHAnsi" w:hAnsiTheme="majorHAnsi" w:cstheme="majorHAnsi"/>
          <w:sz w:val="24"/>
          <w:szCs w:val="24"/>
        </w:rPr>
        <w:t>La Stratégie Nationale de la diversité biologique ;</w:t>
      </w:r>
    </w:p>
    <w:p w14:paraId="00416DC4" w14:textId="77777777" w:rsidR="00C03EC4" w:rsidRPr="002E75D4" w:rsidRDefault="00C03EC4" w:rsidP="00C03EC4">
      <w:pPr>
        <w:pStyle w:val="Sansinterligne"/>
        <w:numPr>
          <w:ilvl w:val="0"/>
          <w:numId w:val="38"/>
        </w:numPr>
        <w:spacing w:before="120"/>
        <w:jc w:val="both"/>
        <w:rPr>
          <w:rFonts w:asciiTheme="majorHAnsi" w:hAnsiTheme="majorHAnsi" w:cstheme="majorHAnsi"/>
          <w:sz w:val="24"/>
          <w:szCs w:val="24"/>
        </w:rPr>
      </w:pPr>
      <w:r w:rsidRPr="002E75D4">
        <w:rPr>
          <w:rFonts w:asciiTheme="majorHAnsi" w:hAnsiTheme="majorHAnsi" w:cstheme="majorHAnsi"/>
          <w:sz w:val="24"/>
          <w:szCs w:val="24"/>
        </w:rPr>
        <w:t>La Politique Nationale de Protection de l’Environnement ;</w:t>
      </w:r>
    </w:p>
    <w:p w14:paraId="691CA981" w14:textId="77777777" w:rsidR="00C03EC4" w:rsidRPr="002E75D4" w:rsidRDefault="00C03EC4" w:rsidP="00C03EC4">
      <w:pPr>
        <w:pStyle w:val="Sansinterligne"/>
        <w:numPr>
          <w:ilvl w:val="0"/>
          <w:numId w:val="38"/>
        </w:numPr>
        <w:spacing w:before="120"/>
        <w:jc w:val="both"/>
        <w:rPr>
          <w:rFonts w:asciiTheme="majorHAnsi" w:hAnsiTheme="majorHAnsi" w:cstheme="majorHAnsi"/>
          <w:sz w:val="24"/>
          <w:szCs w:val="24"/>
        </w:rPr>
      </w:pPr>
      <w:r w:rsidRPr="002E75D4">
        <w:rPr>
          <w:rFonts w:asciiTheme="majorHAnsi" w:hAnsiTheme="majorHAnsi" w:cstheme="majorHAnsi"/>
          <w:sz w:val="24"/>
          <w:szCs w:val="24"/>
        </w:rPr>
        <w:t>La Politique Nationale Forestière ;</w:t>
      </w:r>
    </w:p>
    <w:p w14:paraId="0B9FA7A3" w14:textId="77777777" w:rsidR="00C03EC4" w:rsidRPr="002E75D4" w:rsidRDefault="00C03EC4" w:rsidP="00C03EC4">
      <w:pPr>
        <w:pStyle w:val="Sansinterligne"/>
        <w:numPr>
          <w:ilvl w:val="0"/>
          <w:numId w:val="38"/>
        </w:numPr>
        <w:spacing w:before="120"/>
        <w:jc w:val="both"/>
        <w:rPr>
          <w:rFonts w:asciiTheme="majorHAnsi" w:hAnsiTheme="majorHAnsi" w:cstheme="majorHAnsi"/>
          <w:sz w:val="24"/>
          <w:szCs w:val="24"/>
        </w:rPr>
      </w:pPr>
      <w:r w:rsidRPr="002E75D4">
        <w:rPr>
          <w:rFonts w:asciiTheme="majorHAnsi" w:hAnsiTheme="majorHAnsi" w:cstheme="majorHAnsi"/>
          <w:sz w:val="24"/>
          <w:szCs w:val="24"/>
        </w:rPr>
        <w:t>La Stratégie Nationale de gestion des aires protégées ;</w:t>
      </w:r>
    </w:p>
    <w:p w14:paraId="06EEDE0D" w14:textId="77777777" w:rsidR="00C03EC4" w:rsidRPr="002E75D4" w:rsidRDefault="00C03EC4" w:rsidP="00C03EC4">
      <w:pPr>
        <w:pStyle w:val="Sansinterligne"/>
        <w:numPr>
          <w:ilvl w:val="0"/>
          <w:numId w:val="38"/>
        </w:numPr>
        <w:spacing w:before="120"/>
        <w:jc w:val="both"/>
        <w:rPr>
          <w:rFonts w:asciiTheme="majorHAnsi" w:hAnsiTheme="majorHAnsi" w:cstheme="majorHAnsi"/>
          <w:sz w:val="24"/>
          <w:szCs w:val="24"/>
        </w:rPr>
      </w:pPr>
      <w:r w:rsidRPr="002E75D4">
        <w:rPr>
          <w:rFonts w:asciiTheme="majorHAnsi" w:hAnsiTheme="majorHAnsi" w:cstheme="majorHAnsi"/>
          <w:sz w:val="24"/>
          <w:szCs w:val="24"/>
        </w:rPr>
        <w:t>La stratégie nationale de promotion et de valorisation des Produits Forestiers Non Ligneux (PFNL).</w:t>
      </w:r>
    </w:p>
    <w:p w14:paraId="14C9574A" w14:textId="77777777" w:rsidR="00C03EC4" w:rsidRPr="00A021BD" w:rsidRDefault="00C03EC4" w:rsidP="00C03EC4">
      <w:pPr>
        <w:pStyle w:val="Sansinterligne"/>
        <w:spacing w:before="120"/>
        <w:jc w:val="both"/>
        <w:rPr>
          <w:rFonts w:asciiTheme="minorHAnsi" w:hAnsiTheme="minorHAnsi" w:cstheme="minorHAnsi"/>
          <w:b/>
          <w:bCs/>
          <w:sz w:val="24"/>
          <w:szCs w:val="24"/>
        </w:rPr>
      </w:pPr>
      <w:r w:rsidRPr="00A021BD">
        <w:rPr>
          <w:rFonts w:asciiTheme="minorHAnsi" w:hAnsiTheme="minorHAnsi" w:cstheme="minorHAnsi"/>
          <w:b/>
          <w:bCs/>
          <w:sz w:val="24"/>
          <w:szCs w:val="24"/>
        </w:rPr>
        <w:t>Orientations de la Politique Nationale Forestière</w:t>
      </w:r>
    </w:p>
    <w:p w14:paraId="0B267F10" w14:textId="77777777" w:rsidR="00C03EC4" w:rsidRPr="002E75D4" w:rsidRDefault="00C03EC4" w:rsidP="00C03EC4">
      <w:pPr>
        <w:spacing w:after="0"/>
        <w:jc w:val="both"/>
        <w:rPr>
          <w:rFonts w:asciiTheme="majorHAnsi" w:hAnsiTheme="majorHAnsi" w:cstheme="majorHAnsi"/>
          <w:sz w:val="14"/>
          <w:szCs w:val="24"/>
        </w:rPr>
      </w:pPr>
    </w:p>
    <w:p w14:paraId="5EE53FBC"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axes stratégiques de la Politique Nationale Forestière (axes stratégique n°2, Object. N°2), prévoient des actions dans le cadre de la lutte contre les terres dégradées. Ces actions dans les dix (10) prochaines années correspondent à : </w:t>
      </w:r>
    </w:p>
    <w:p w14:paraId="1BCAEE9C" w14:textId="77777777" w:rsidR="00C03EC4" w:rsidRPr="002E75D4" w:rsidRDefault="00C03EC4" w:rsidP="00C03EC4">
      <w:pPr>
        <w:pStyle w:val="Paragraphedeliste"/>
        <w:numPr>
          <w:ilvl w:val="0"/>
          <w:numId w:val="39"/>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275.00 ha de superficies restaurées (soit 25.000 ha par/an)</w:t>
      </w:r>
    </w:p>
    <w:p w14:paraId="53308BF2" w14:textId="77777777" w:rsidR="00C03EC4" w:rsidRPr="002E75D4" w:rsidRDefault="00C03EC4" w:rsidP="00C03EC4">
      <w:pPr>
        <w:pStyle w:val="Paragraphedeliste"/>
        <w:numPr>
          <w:ilvl w:val="0"/>
          <w:numId w:val="39"/>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100 ha de dunes stabilisées ;</w:t>
      </w:r>
    </w:p>
    <w:p w14:paraId="0875A260" w14:textId="77777777" w:rsidR="00C03EC4" w:rsidRPr="002E75D4" w:rsidRDefault="00C03EC4" w:rsidP="00C03EC4">
      <w:pPr>
        <w:pStyle w:val="Paragraphedeliste"/>
        <w:numPr>
          <w:ilvl w:val="0"/>
          <w:numId w:val="39"/>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12 500ha de reboisements sécurisés à l’horizon 2030 ;</w:t>
      </w:r>
    </w:p>
    <w:p w14:paraId="23E30016" w14:textId="77777777" w:rsidR="00C03EC4" w:rsidRPr="002E75D4" w:rsidRDefault="00C03EC4" w:rsidP="00C03EC4">
      <w:pPr>
        <w:pStyle w:val="Paragraphedeliste"/>
        <w:numPr>
          <w:ilvl w:val="0"/>
          <w:numId w:val="39"/>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15 000 ha de reboisements sécurisés avec des essences de valeur économique ;</w:t>
      </w:r>
    </w:p>
    <w:p w14:paraId="56872335" w14:textId="77777777" w:rsidR="00C03EC4" w:rsidRPr="002E75D4" w:rsidRDefault="00C03EC4" w:rsidP="00C03EC4">
      <w:pPr>
        <w:pStyle w:val="Paragraphedeliste"/>
        <w:numPr>
          <w:ilvl w:val="0"/>
          <w:numId w:val="39"/>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Gestion des forêts classées pour l’amélioration des taux de couverture forestière ;</w:t>
      </w:r>
    </w:p>
    <w:p w14:paraId="195E9294" w14:textId="77777777" w:rsidR="00C03EC4" w:rsidRPr="002E75D4" w:rsidRDefault="00C03EC4" w:rsidP="00C03EC4">
      <w:pPr>
        <w:pStyle w:val="Paragraphedeliste"/>
        <w:numPr>
          <w:ilvl w:val="0"/>
          <w:numId w:val="39"/>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Les aménagements forestiers pour renforcer le carbone des formations forestières.</w:t>
      </w:r>
    </w:p>
    <w:p w14:paraId="5C2A07F0" w14:textId="77777777" w:rsidR="00C03EC4" w:rsidRPr="002E75D4" w:rsidRDefault="00C03EC4" w:rsidP="00C03EC4">
      <w:pPr>
        <w:pStyle w:val="Paragraphedeliste"/>
        <w:spacing w:before="120" w:after="0" w:line="240" w:lineRule="auto"/>
        <w:ind w:left="714"/>
        <w:contextualSpacing w:val="0"/>
        <w:jc w:val="both"/>
        <w:rPr>
          <w:rFonts w:asciiTheme="majorHAnsi" w:hAnsiTheme="majorHAnsi" w:cstheme="majorHAnsi"/>
          <w:sz w:val="4"/>
          <w:szCs w:val="24"/>
        </w:rPr>
      </w:pPr>
    </w:p>
    <w:p w14:paraId="537F69AA" w14:textId="77777777" w:rsidR="00C03EC4" w:rsidRPr="00A021BD" w:rsidRDefault="00C03EC4" w:rsidP="00C03EC4">
      <w:pPr>
        <w:pStyle w:val="Titre3"/>
        <w:spacing w:line="240" w:lineRule="auto"/>
        <w:jc w:val="both"/>
        <w:rPr>
          <w:rFonts w:asciiTheme="minorHAnsi" w:hAnsiTheme="minorHAnsi" w:cstheme="minorHAnsi"/>
          <w:bCs w:val="0"/>
          <w:sz w:val="24"/>
          <w:szCs w:val="24"/>
        </w:rPr>
      </w:pPr>
      <w:bookmarkStart w:id="9" w:name="_Toc66454273"/>
      <w:r w:rsidRPr="00A021BD">
        <w:rPr>
          <w:rFonts w:asciiTheme="minorHAnsi" w:hAnsiTheme="minorHAnsi" w:cstheme="minorHAnsi"/>
          <w:bCs w:val="0"/>
          <w:sz w:val="24"/>
          <w:szCs w:val="24"/>
        </w:rPr>
        <w:t xml:space="preserve">Programmes et projets </w:t>
      </w:r>
      <w:bookmarkEnd w:id="9"/>
      <w:r w:rsidRPr="00A021BD">
        <w:rPr>
          <w:rFonts w:asciiTheme="minorHAnsi" w:hAnsiTheme="minorHAnsi" w:cstheme="minorHAnsi"/>
          <w:bCs w:val="0"/>
          <w:sz w:val="24"/>
          <w:szCs w:val="24"/>
        </w:rPr>
        <w:t>qui sont en lien avec la réduction des émissions de GES ou le renforcement</w:t>
      </w:r>
      <w:r w:rsidRPr="002E75D4">
        <w:rPr>
          <w:rFonts w:asciiTheme="minorHAnsi" w:hAnsiTheme="minorHAnsi" w:cstheme="minorHAnsi"/>
          <w:b w:val="0"/>
          <w:sz w:val="24"/>
          <w:szCs w:val="24"/>
        </w:rPr>
        <w:t xml:space="preserve"> </w:t>
      </w:r>
      <w:r w:rsidRPr="00A021BD">
        <w:rPr>
          <w:rFonts w:asciiTheme="minorHAnsi" w:hAnsiTheme="minorHAnsi" w:cstheme="minorHAnsi"/>
          <w:bCs w:val="0"/>
          <w:sz w:val="24"/>
          <w:szCs w:val="24"/>
        </w:rPr>
        <w:t>de la séquestration du carbone.</w:t>
      </w:r>
    </w:p>
    <w:p w14:paraId="5A0572AD" w14:textId="77777777" w:rsidR="00C03EC4" w:rsidRPr="002E75D4" w:rsidRDefault="00C03EC4" w:rsidP="00C03EC4">
      <w:pPr>
        <w:pStyle w:val="Titre3"/>
        <w:spacing w:line="240" w:lineRule="auto"/>
        <w:jc w:val="both"/>
        <w:rPr>
          <w:rFonts w:asciiTheme="majorHAnsi" w:hAnsiTheme="majorHAnsi" w:cstheme="majorHAnsi"/>
          <w:b w:val="0"/>
          <w:bCs w:val="0"/>
          <w:sz w:val="24"/>
          <w:szCs w:val="24"/>
        </w:rPr>
      </w:pPr>
      <w:r w:rsidRPr="002E75D4">
        <w:rPr>
          <w:rFonts w:asciiTheme="majorHAnsi" w:hAnsiTheme="majorHAnsi" w:cstheme="majorHAnsi"/>
          <w:b w:val="0"/>
          <w:bCs w:val="0"/>
          <w:sz w:val="24"/>
          <w:szCs w:val="24"/>
        </w:rPr>
        <w:t>On retient les programmes suivants qui seront l’ossature du scénario de base :</w:t>
      </w:r>
    </w:p>
    <w:p w14:paraId="1E0D4179" w14:textId="77777777" w:rsidR="00C03EC4" w:rsidRPr="002E75D4" w:rsidRDefault="00C03EC4" w:rsidP="00C03EC4">
      <w:pPr>
        <w:spacing w:after="0" w:line="240" w:lineRule="auto"/>
        <w:jc w:val="both"/>
        <w:rPr>
          <w:rFonts w:asciiTheme="majorHAnsi" w:hAnsiTheme="majorHAnsi" w:cstheme="majorHAnsi"/>
        </w:rPr>
      </w:pPr>
    </w:p>
    <w:p w14:paraId="7D9584A3" w14:textId="77777777" w:rsidR="00C03EC4" w:rsidRPr="00A021BD" w:rsidRDefault="00C03EC4" w:rsidP="00C03EC4">
      <w:pPr>
        <w:pStyle w:val="Titre5"/>
        <w:spacing w:line="240" w:lineRule="auto"/>
        <w:jc w:val="both"/>
        <w:rPr>
          <w:rFonts w:asciiTheme="minorHAnsi" w:hAnsiTheme="minorHAnsi" w:cstheme="minorHAnsi"/>
          <w:bCs/>
          <w:color w:val="auto"/>
          <w:sz w:val="24"/>
          <w:szCs w:val="24"/>
        </w:rPr>
      </w:pPr>
      <w:r w:rsidRPr="00A021BD">
        <w:rPr>
          <w:rFonts w:asciiTheme="minorHAnsi" w:hAnsiTheme="minorHAnsi" w:cstheme="minorHAnsi"/>
          <w:bCs/>
          <w:color w:val="auto"/>
          <w:sz w:val="24"/>
          <w:szCs w:val="24"/>
        </w:rPr>
        <w:t>Les programmes nationaux (initiés sur le budget national) :</w:t>
      </w:r>
    </w:p>
    <w:p w14:paraId="6C0E5E91" w14:textId="77777777" w:rsidR="00C03EC4" w:rsidRPr="002E75D4" w:rsidRDefault="00C03EC4" w:rsidP="00C03EC4">
      <w:pPr>
        <w:pStyle w:val="Sansinterligne"/>
        <w:numPr>
          <w:ilvl w:val="0"/>
          <w:numId w:val="40"/>
        </w:numPr>
        <w:spacing w:before="120"/>
        <w:jc w:val="both"/>
        <w:rPr>
          <w:rFonts w:asciiTheme="majorHAnsi" w:hAnsiTheme="majorHAnsi" w:cstheme="majorHAnsi"/>
          <w:sz w:val="24"/>
          <w:szCs w:val="24"/>
        </w:rPr>
      </w:pPr>
      <w:r w:rsidRPr="002E75D4">
        <w:rPr>
          <w:rFonts w:asciiTheme="majorHAnsi" w:hAnsiTheme="majorHAnsi" w:cstheme="majorHAnsi"/>
          <w:sz w:val="24"/>
          <w:szCs w:val="24"/>
        </w:rPr>
        <w:t>Programme 2.070, Sauvegarde et Gestion Intégrée des Ressources du Bassin du Fleuve Niger : protection/aménagement des berges du fleuve, réhabilitation économique et environnementale du fleuve, faucardage et curage du fleuve ;</w:t>
      </w:r>
    </w:p>
    <w:p w14:paraId="7E4EDC87" w14:textId="77777777" w:rsidR="00C03EC4" w:rsidRPr="002E75D4" w:rsidRDefault="00C03EC4" w:rsidP="00C03EC4">
      <w:pPr>
        <w:pStyle w:val="Sansinterligne"/>
        <w:numPr>
          <w:ilvl w:val="0"/>
          <w:numId w:val="40"/>
        </w:numPr>
        <w:spacing w:before="120"/>
        <w:jc w:val="both"/>
        <w:rPr>
          <w:rFonts w:asciiTheme="majorHAnsi" w:hAnsiTheme="majorHAnsi" w:cstheme="majorHAnsi"/>
          <w:sz w:val="24"/>
          <w:szCs w:val="24"/>
        </w:rPr>
      </w:pPr>
      <w:r w:rsidRPr="002E75D4">
        <w:rPr>
          <w:rFonts w:asciiTheme="majorHAnsi" w:hAnsiTheme="majorHAnsi" w:cstheme="majorHAnsi"/>
          <w:sz w:val="24"/>
          <w:szCs w:val="24"/>
        </w:rPr>
        <w:t>Programme 2.071, Protection et Conservation de la Nature ;</w:t>
      </w:r>
    </w:p>
    <w:p w14:paraId="326F30FD" w14:textId="77777777" w:rsidR="00C03EC4" w:rsidRPr="002E75D4" w:rsidRDefault="00C03EC4" w:rsidP="00C03EC4">
      <w:pPr>
        <w:pStyle w:val="Sansinterligne"/>
        <w:numPr>
          <w:ilvl w:val="0"/>
          <w:numId w:val="40"/>
        </w:numPr>
        <w:spacing w:before="120"/>
        <w:jc w:val="both"/>
        <w:rPr>
          <w:rFonts w:asciiTheme="majorHAnsi" w:hAnsiTheme="majorHAnsi" w:cstheme="majorHAnsi"/>
          <w:sz w:val="24"/>
          <w:szCs w:val="24"/>
        </w:rPr>
      </w:pPr>
      <w:r w:rsidRPr="002E75D4">
        <w:rPr>
          <w:rFonts w:asciiTheme="majorHAnsi" w:hAnsiTheme="majorHAnsi" w:cstheme="majorHAnsi"/>
          <w:sz w:val="24"/>
          <w:szCs w:val="24"/>
        </w:rPr>
        <w:t>Programme 3.004, Appui à l'aménagement et à la protection de la faune ;</w:t>
      </w:r>
    </w:p>
    <w:p w14:paraId="6EB71CD2" w14:textId="77777777" w:rsidR="00C03EC4" w:rsidRPr="002E75D4" w:rsidRDefault="00C03EC4" w:rsidP="00C03EC4">
      <w:pPr>
        <w:pStyle w:val="Sansinterligne"/>
        <w:numPr>
          <w:ilvl w:val="0"/>
          <w:numId w:val="40"/>
        </w:numPr>
        <w:spacing w:before="120"/>
        <w:jc w:val="both"/>
        <w:rPr>
          <w:rFonts w:asciiTheme="majorHAnsi" w:hAnsiTheme="majorHAnsi" w:cstheme="majorHAnsi"/>
          <w:sz w:val="24"/>
          <w:szCs w:val="24"/>
        </w:rPr>
      </w:pPr>
      <w:r w:rsidRPr="002E75D4">
        <w:rPr>
          <w:rFonts w:asciiTheme="majorHAnsi" w:hAnsiTheme="majorHAnsi" w:cstheme="majorHAnsi"/>
          <w:sz w:val="24"/>
          <w:szCs w:val="24"/>
        </w:rPr>
        <w:t>Programme 3.005, Appui à l'aménagement et à la protection des forêts.</w:t>
      </w:r>
    </w:p>
    <w:p w14:paraId="01D98600" w14:textId="77777777" w:rsidR="00C03EC4" w:rsidRPr="002E75D4" w:rsidRDefault="00C03EC4" w:rsidP="00C03EC4">
      <w:pPr>
        <w:spacing w:after="0" w:line="240" w:lineRule="auto"/>
        <w:jc w:val="both"/>
        <w:rPr>
          <w:rFonts w:asciiTheme="majorHAnsi" w:hAnsiTheme="majorHAnsi" w:cstheme="majorHAnsi"/>
          <w:sz w:val="24"/>
          <w:szCs w:val="24"/>
        </w:rPr>
      </w:pPr>
    </w:p>
    <w:p w14:paraId="10F65C16" w14:textId="77777777" w:rsidR="00C03EC4" w:rsidRPr="00A021BD" w:rsidRDefault="00C03EC4" w:rsidP="00C03EC4">
      <w:pPr>
        <w:pStyle w:val="Titre5"/>
        <w:spacing w:line="240" w:lineRule="auto"/>
        <w:jc w:val="both"/>
        <w:rPr>
          <w:rFonts w:asciiTheme="minorHAnsi" w:hAnsiTheme="minorHAnsi" w:cstheme="minorHAnsi"/>
          <w:b/>
          <w:bCs/>
          <w:color w:val="auto"/>
          <w:sz w:val="36"/>
          <w:szCs w:val="36"/>
          <w:vertAlign w:val="superscript"/>
        </w:rPr>
      </w:pPr>
      <w:r w:rsidRPr="00A021BD">
        <w:rPr>
          <w:rFonts w:asciiTheme="minorHAnsi" w:hAnsiTheme="minorHAnsi" w:cstheme="minorHAnsi"/>
          <w:b/>
          <w:bCs/>
          <w:color w:val="auto"/>
          <w:sz w:val="36"/>
          <w:szCs w:val="36"/>
          <w:vertAlign w:val="superscript"/>
        </w:rPr>
        <w:t>Les programmes en partenariat avec les PTF et les promoteurs privés</w:t>
      </w:r>
    </w:p>
    <w:tbl>
      <w:tblPr>
        <w:tblStyle w:val="Grillemoyenne3-Accent1"/>
        <w:tblpPr w:leftFromText="141" w:rightFromText="141" w:vertAnchor="text" w:horzAnchor="margin" w:tblpY="661"/>
        <w:tblW w:w="5000" w:type="pct"/>
        <w:tblLook w:val="0420" w:firstRow="1" w:lastRow="0" w:firstColumn="0" w:lastColumn="0" w:noHBand="0" w:noVBand="1"/>
      </w:tblPr>
      <w:tblGrid>
        <w:gridCol w:w="3979"/>
        <w:gridCol w:w="4428"/>
        <w:gridCol w:w="1212"/>
      </w:tblGrid>
      <w:tr w:rsidR="00C03EC4" w:rsidRPr="002E75D4" w14:paraId="5826632A" w14:textId="77777777" w:rsidTr="000D6136">
        <w:trPr>
          <w:cnfStyle w:val="100000000000" w:firstRow="1" w:lastRow="0" w:firstColumn="0" w:lastColumn="0" w:oddVBand="0" w:evenVBand="0" w:oddHBand="0" w:evenHBand="0" w:firstRowFirstColumn="0" w:firstRowLastColumn="0" w:lastRowFirstColumn="0" w:lastRowLastColumn="0"/>
          <w:trHeight w:hRule="exact" w:val="435"/>
        </w:trPr>
        <w:tc>
          <w:tcPr>
            <w:tcW w:w="2068" w:type="pct"/>
            <w:shd w:val="clear" w:color="auto" w:fill="C00000"/>
          </w:tcPr>
          <w:p w14:paraId="5637604E" w14:textId="77777777" w:rsidR="00C03EC4" w:rsidRPr="002E75D4" w:rsidRDefault="00C03EC4" w:rsidP="000D6136">
            <w:pPr>
              <w:spacing w:after="60"/>
              <w:ind w:left="175"/>
              <w:rPr>
                <w:rFonts w:asciiTheme="majorHAnsi" w:eastAsia="Calibri" w:hAnsiTheme="majorHAnsi" w:cstheme="majorHAnsi"/>
                <w:color w:val="auto"/>
                <w:sz w:val="20"/>
                <w:szCs w:val="20"/>
              </w:rPr>
            </w:pPr>
            <w:r w:rsidRPr="002E75D4">
              <w:rPr>
                <w:rFonts w:asciiTheme="majorHAnsi" w:hAnsiTheme="majorHAnsi" w:cstheme="majorHAnsi"/>
                <w:color w:val="auto"/>
                <w:sz w:val="20"/>
                <w:szCs w:val="20"/>
              </w:rPr>
              <w:t>P</w:t>
            </w:r>
            <w:r w:rsidRPr="002E75D4">
              <w:rPr>
                <w:rFonts w:asciiTheme="majorHAnsi" w:hAnsiTheme="majorHAnsi" w:cstheme="majorHAnsi"/>
                <w:color w:val="auto"/>
                <w:spacing w:val="4"/>
                <w:sz w:val="20"/>
                <w:szCs w:val="20"/>
              </w:rPr>
              <w:t>r</w:t>
            </w:r>
            <w:r w:rsidRPr="002E75D4">
              <w:rPr>
                <w:rFonts w:asciiTheme="majorHAnsi" w:hAnsiTheme="majorHAnsi" w:cstheme="majorHAnsi"/>
                <w:color w:val="auto"/>
                <w:spacing w:val="5"/>
                <w:sz w:val="20"/>
                <w:szCs w:val="20"/>
              </w:rPr>
              <w:t>ogrammes/projets</w:t>
            </w:r>
          </w:p>
        </w:tc>
        <w:tc>
          <w:tcPr>
            <w:tcW w:w="2301" w:type="pct"/>
            <w:shd w:val="clear" w:color="auto" w:fill="002060"/>
          </w:tcPr>
          <w:p w14:paraId="2576768A" w14:textId="77777777" w:rsidR="00C03EC4" w:rsidRPr="002E75D4" w:rsidRDefault="00C03EC4" w:rsidP="000D6136">
            <w:pPr>
              <w:spacing w:after="60"/>
              <w:ind w:left="156"/>
              <w:rPr>
                <w:rFonts w:asciiTheme="majorHAnsi" w:eastAsia="Calibri" w:hAnsiTheme="majorHAnsi" w:cstheme="majorHAnsi"/>
                <w:color w:val="auto"/>
                <w:sz w:val="20"/>
                <w:szCs w:val="20"/>
              </w:rPr>
            </w:pPr>
            <w:r w:rsidRPr="002E75D4">
              <w:rPr>
                <w:rFonts w:asciiTheme="majorHAnsi" w:hAnsiTheme="majorHAnsi" w:cstheme="majorHAnsi"/>
                <w:color w:val="auto"/>
                <w:spacing w:val="3"/>
                <w:sz w:val="20"/>
                <w:szCs w:val="20"/>
              </w:rPr>
              <w:t>Actions</w:t>
            </w:r>
          </w:p>
        </w:tc>
        <w:tc>
          <w:tcPr>
            <w:tcW w:w="630" w:type="pct"/>
            <w:shd w:val="clear" w:color="auto" w:fill="BF8F00" w:themeFill="accent4" w:themeFillShade="BF"/>
          </w:tcPr>
          <w:p w14:paraId="4CAE5CAE" w14:textId="77777777" w:rsidR="00C03EC4" w:rsidRPr="002E75D4" w:rsidRDefault="00C03EC4" w:rsidP="000D6136">
            <w:pPr>
              <w:spacing w:after="60"/>
              <w:rPr>
                <w:rFonts w:asciiTheme="majorHAnsi" w:hAnsiTheme="majorHAnsi" w:cstheme="majorHAnsi"/>
                <w:color w:val="auto"/>
                <w:spacing w:val="3"/>
                <w:sz w:val="20"/>
                <w:szCs w:val="20"/>
              </w:rPr>
            </w:pPr>
            <w:r w:rsidRPr="002E75D4">
              <w:rPr>
                <w:rFonts w:asciiTheme="majorHAnsi" w:hAnsiTheme="majorHAnsi" w:cstheme="majorHAnsi"/>
                <w:color w:val="auto"/>
                <w:spacing w:val="3"/>
                <w:sz w:val="20"/>
                <w:szCs w:val="20"/>
              </w:rPr>
              <w:t>Partenaires</w:t>
            </w:r>
          </w:p>
        </w:tc>
      </w:tr>
      <w:tr w:rsidR="00C03EC4" w:rsidRPr="002E75D4" w14:paraId="779E9F5D" w14:textId="77777777" w:rsidTr="000D6136">
        <w:trPr>
          <w:cnfStyle w:val="000000100000" w:firstRow="0" w:lastRow="0" w:firstColumn="0" w:lastColumn="0" w:oddVBand="0" w:evenVBand="0" w:oddHBand="1" w:evenHBand="0" w:firstRowFirstColumn="0" w:firstRowLastColumn="0" w:lastRowFirstColumn="0" w:lastRowLastColumn="0"/>
          <w:trHeight w:hRule="exact" w:val="787"/>
        </w:trPr>
        <w:tc>
          <w:tcPr>
            <w:tcW w:w="2068" w:type="pct"/>
            <w:shd w:val="clear" w:color="auto" w:fill="FFE1E1"/>
          </w:tcPr>
          <w:p w14:paraId="53B727EF"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3"/>
                <w:sz w:val="20"/>
                <w:szCs w:val="20"/>
              </w:rPr>
              <w:t>Programme</w:t>
            </w:r>
            <w:r w:rsidRPr="002E75D4">
              <w:rPr>
                <w:rFonts w:asciiTheme="majorHAnsi" w:hAnsiTheme="majorHAnsi" w:cstheme="majorHAnsi"/>
                <w:spacing w:val="10"/>
                <w:sz w:val="20"/>
                <w:szCs w:val="20"/>
              </w:rPr>
              <w:t xml:space="preserve"> </w:t>
            </w:r>
            <w:r w:rsidRPr="002E75D4">
              <w:rPr>
                <w:rFonts w:asciiTheme="majorHAnsi" w:hAnsiTheme="majorHAnsi" w:cstheme="majorHAnsi"/>
                <w:sz w:val="20"/>
                <w:szCs w:val="20"/>
              </w:rPr>
              <w:t>Alliance</w:t>
            </w:r>
            <w:r w:rsidRPr="002E75D4">
              <w:rPr>
                <w:rFonts w:asciiTheme="majorHAnsi" w:hAnsiTheme="majorHAnsi" w:cstheme="majorHAnsi"/>
                <w:spacing w:val="-11"/>
                <w:sz w:val="20"/>
                <w:szCs w:val="20"/>
              </w:rPr>
              <w:t xml:space="preserve"> </w:t>
            </w:r>
            <w:r w:rsidRPr="002E75D4">
              <w:rPr>
                <w:rFonts w:asciiTheme="majorHAnsi" w:hAnsiTheme="majorHAnsi" w:cstheme="majorHAnsi"/>
                <w:spacing w:val="-1"/>
                <w:sz w:val="20"/>
                <w:szCs w:val="20"/>
              </w:rPr>
              <w:t>Globale</w:t>
            </w:r>
            <w:r w:rsidRPr="002E75D4">
              <w:rPr>
                <w:rFonts w:asciiTheme="majorHAnsi" w:hAnsiTheme="majorHAnsi" w:cstheme="majorHAnsi"/>
                <w:spacing w:val="-12"/>
                <w:sz w:val="20"/>
                <w:szCs w:val="20"/>
              </w:rPr>
              <w:t xml:space="preserve"> </w:t>
            </w:r>
            <w:r w:rsidRPr="002E75D4">
              <w:rPr>
                <w:rFonts w:asciiTheme="majorHAnsi" w:hAnsiTheme="majorHAnsi" w:cstheme="majorHAnsi"/>
                <w:sz w:val="20"/>
                <w:szCs w:val="20"/>
              </w:rPr>
              <w:t>sur</w:t>
            </w:r>
            <w:r w:rsidRPr="002E75D4">
              <w:rPr>
                <w:rFonts w:asciiTheme="majorHAnsi" w:hAnsiTheme="majorHAnsi" w:cstheme="majorHAnsi"/>
                <w:spacing w:val="-7"/>
                <w:sz w:val="20"/>
                <w:szCs w:val="20"/>
              </w:rPr>
              <w:t xml:space="preserve"> </w:t>
            </w:r>
            <w:r w:rsidRPr="002E75D4">
              <w:rPr>
                <w:rFonts w:asciiTheme="majorHAnsi" w:hAnsiTheme="majorHAnsi" w:cstheme="majorHAnsi"/>
                <w:spacing w:val="2"/>
                <w:sz w:val="20"/>
                <w:szCs w:val="20"/>
              </w:rPr>
              <w:t>le</w:t>
            </w:r>
          </w:p>
          <w:p w14:paraId="3483E852"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2"/>
                <w:sz w:val="20"/>
                <w:szCs w:val="20"/>
              </w:rPr>
              <w:t>Changement</w:t>
            </w:r>
            <w:r w:rsidRPr="002E75D4">
              <w:rPr>
                <w:rFonts w:asciiTheme="majorHAnsi" w:hAnsiTheme="majorHAnsi" w:cstheme="majorHAnsi"/>
                <w:spacing w:val="3"/>
                <w:sz w:val="20"/>
                <w:szCs w:val="20"/>
              </w:rPr>
              <w:t xml:space="preserve"> </w:t>
            </w:r>
            <w:r w:rsidRPr="002E75D4">
              <w:rPr>
                <w:rFonts w:asciiTheme="majorHAnsi" w:hAnsiTheme="majorHAnsi" w:cstheme="majorHAnsi"/>
                <w:spacing w:val="-1"/>
                <w:sz w:val="20"/>
                <w:szCs w:val="20"/>
              </w:rPr>
              <w:t>Climatique phase II</w:t>
            </w:r>
          </w:p>
        </w:tc>
        <w:tc>
          <w:tcPr>
            <w:tcW w:w="2301" w:type="pct"/>
          </w:tcPr>
          <w:p w14:paraId="43746C3A" w14:textId="77777777" w:rsidR="00C03EC4" w:rsidRPr="002E75D4" w:rsidRDefault="00C03EC4" w:rsidP="000D6136">
            <w:pPr>
              <w:ind w:left="159"/>
              <w:jc w:val="left"/>
              <w:rPr>
                <w:rFonts w:asciiTheme="majorHAnsi" w:hAnsiTheme="majorHAnsi" w:cstheme="majorHAnsi"/>
                <w:spacing w:val="-3"/>
                <w:sz w:val="20"/>
                <w:szCs w:val="20"/>
              </w:rPr>
            </w:pPr>
            <w:r w:rsidRPr="002E75D4">
              <w:rPr>
                <w:rFonts w:asciiTheme="majorHAnsi" w:hAnsiTheme="majorHAnsi" w:cstheme="majorHAnsi"/>
                <w:spacing w:val="-3"/>
                <w:sz w:val="20"/>
                <w:szCs w:val="20"/>
              </w:rPr>
              <w:t>Reboisement</w:t>
            </w:r>
          </w:p>
          <w:p w14:paraId="6468D020" w14:textId="77777777" w:rsidR="00C03EC4" w:rsidRPr="002E75D4" w:rsidRDefault="00C03EC4" w:rsidP="000D6136">
            <w:pPr>
              <w:ind w:left="159"/>
              <w:jc w:val="left"/>
              <w:rPr>
                <w:rFonts w:asciiTheme="majorHAnsi" w:hAnsiTheme="majorHAnsi" w:cstheme="majorHAnsi"/>
                <w:spacing w:val="-4"/>
                <w:sz w:val="20"/>
                <w:szCs w:val="20"/>
              </w:rPr>
            </w:pPr>
            <w:r w:rsidRPr="002E75D4">
              <w:rPr>
                <w:rFonts w:asciiTheme="majorHAnsi" w:hAnsiTheme="majorHAnsi" w:cstheme="majorHAnsi"/>
                <w:spacing w:val="-3"/>
                <w:sz w:val="20"/>
                <w:szCs w:val="20"/>
              </w:rPr>
              <w:t>Régénération Naturelle Assistée, Agroforesterie</w:t>
            </w:r>
          </w:p>
        </w:tc>
        <w:tc>
          <w:tcPr>
            <w:tcW w:w="630" w:type="pct"/>
            <w:shd w:val="clear" w:color="auto" w:fill="FFE599" w:themeFill="accent4" w:themeFillTint="66"/>
          </w:tcPr>
          <w:p w14:paraId="24053A69" w14:textId="77777777" w:rsidR="00C03EC4" w:rsidRPr="002E75D4" w:rsidRDefault="00C03EC4" w:rsidP="000D6136">
            <w:pPr>
              <w:spacing w:after="60"/>
              <w:rPr>
                <w:rFonts w:asciiTheme="majorHAnsi" w:hAnsiTheme="majorHAnsi" w:cstheme="majorHAnsi"/>
                <w:spacing w:val="-3"/>
                <w:sz w:val="20"/>
                <w:szCs w:val="20"/>
              </w:rPr>
            </w:pPr>
            <w:r w:rsidRPr="002E75D4">
              <w:rPr>
                <w:rFonts w:asciiTheme="majorHAnsi" w:hAnsiTheme="majorHAnsi" w:cstheme="majorHAnsi"/>
                <w:spacing w:val="-3"/>
                <w:sz w:val="20"/>
                <w:szCs w:val="20"/>
              </w:rPr>
              <w:t>UE-Etat</w:t>
            </w:r>
          </w:p>
        </w:tc>
      </w:tr>
      <w:tr w:rsidR="00C03EC4" w:rsidRPr="002E75D4" w14:paraId="1508B577" w14:textId="77777777" w:rsidTr="000D6136">
        <w:trPr>
          <w:trHeight w:hRule="exact" w:val="923"/>
        </w:trPr>
        <w:tc>
          <w:tcPr>
            <w:tcW w:w="2068" w:type="pct"/>
            <w:shd w:val="clear" w:color="auto" w:fill="FFF3F3"/>
          </w:tcPr>
          <w:p w14:paraId="1B54AF18"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6"/>
                <w:sz w:val="20"/>
                <w:szCs w:val="20"/>
              </w:rPr>
              <w:t>Pr</w:t>
            </w:r>
            <w:r w:rsidRPr="002E75D4">
              <w:rPr>
                <w:rFonts w:asciiTheme="majorHAnsi" w:hAnsiTheme="majorHAnsi" w:cstheme="majorHAnsi"/>
                <w:spacing w:val="-5"/>
                <w:sz w:val="20"/>
                <w:szCs w:val="20"/>
              </w:rPr>
              <w:t>o</w:t>
            </w:r>
            <w:r w:rsidRPr="002E75D4">
              <w:rPr>
                <w:rFonts w:asciiTheme="majorHAnsi" w:hAnsiTheme="majorHAnsi" w:cstheme="majorHAnsi"/>
                <w:spacing w:val="-6"/>
                <w:sz w:val="20"/>
                <w:szCs w:val="20"/>
              </w:rPr>
              <w:t>gr</w:t>
            </w:r>
            <w:r w:rsidRPr="002E75D4">
              <w:rPr>
                <w:rFonts w:asciiTheme="majorHAnsi" w:hAnsiTheme="majorHAnsi" w:cstheme="majorHAnsi"/>
                <w:spacing w:val="-5"/>
                <w:sz w:val="20"/>
                <w:szCs w:val="20"/>
              </w:rPr>
              <w:t>a</w:t>
            </w:r>
            <w:r w:rsidRPr="002E75D4">
              <w:rPr>
                <w:rFonts w:asciiTheme="majorHAnsi" w:hAnsiTheme="majorHAnsi" w:cstheme="majorHAnsi"/>
                <w:spacing w:val="-6"/>
                <w:sz w:val="20"/>
                <w:szCs w:val="20"/>
              </w:rPr>
              <w:t>mme</w:t>
            </w:r>
            <w:r w:rsidRPr="002E75D4">
              <w:rPr>
                <w:rFonts w:asciiTheme="majorHAnsi" w:hAnsiTheme="majorHAnsi" w:cstheme="majorHAnsi"/>
                <w:spacing w:val="28"/>
                <w:sz w:val="20"/>
                <w:szCs w:val="20"/>
              </w:rPr>
              <w:t xml:space="preserve"> </w:t>
            </w:r>
            <w:r w:rsidRPr="002E75D4">
              <w:rPr>
                <w:rFonts w:asciiTheme="majorHAnsi" w:hAnsiTheme="majorHAnsi" w:cstheme="majorHAnsi"/>
                <w:sz w:val="20"/>
                <w:szCs w:val="20"/>
              </w:rPr>
              <w:t>Gestion</w:t>
            </w:r>
          </w:p>
          <w:p w14:paraId="1ACDEC62"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z w:val="20"/>
                <w:szCs w:val="20"/>
              </w:rPr>
              <w:t>Décentralisée</w:t>
            </w:r>
            <w:r w:rsidRPr="002E75D4">
              <w:rPr>
                <w:rFonts w:asciiTheme="majorHAnsi" w:hAnsiTheme="majorHAnsi" w:cstheme="majorHAnsi"/>
                <w:spacing w:val="-14"/>
                <w:sz w:val="20"/>
                <w:szCs w:val="20"/>
              </w:rPr>
              <w:t xml:space="preserve"> </w:t>
            </w:r>
            <w:r w:rsidRPr="002E75D4">
              <w:rPr>
                <w:rFonts w:asciiTheme="majorHAnsi" w:hAnsiTheme="majorHAnsi" w:cstheme="majorHAnsi"/>
                <w:spacing w:val="-3"/>
                <w:sz w:val="20"/>
                <w:szCs w:val="20"/>
              </w:rPr>
              <w:t>des</w:t>
            </w:r>
            <w:r w:rsidRPr="002E75D4">
              <w:rPr>
                <w:rFonts w:asciiTheme="majorHAnsi" w:hAnsiTheme="majorHAnsi" w:cstheme="majorHAnsi"/>
                <w:spacing w:val="-4"/>
                <w:sz w:val="20"/>
                <w:szCs w:val="20"/>
              </w:rPr>
              <w:t xml:space="preserve"> </w:t>
            </w:r>
            <w:r w:rsidRPr="002E75D4">
              <w:rPr>
                <w:rFonts w:asciiTheme="majorHAnsi" w:hAnsiTheme="majorHAnsi" w:cstheme="majorHAnsi"/>
                <w:spacing w:val="-5"/>
                <w:sz w:val="20"/>
                <w:szCs w:val="20"/>
              </w:rPr>
              <w:t>Fo</w:t>
            </w:r>
            <w:r w:rsidRPr="002E75D4">
              <w:rPr>
                <w:rFonts w:asciiTheme="majorHAnsi" w:hAnsiTheme="majorHAnsi" w:cstheme="majorHAnsi"/>
                <w:spacing w:val="-6"/>
                <w:sz w:val="20"/>
                <w:szCs w:val="20"/>
              </w:rPr>
              <w:t>rêt</w:t>
            </w:r>
            <w:r w:rsidRPr="002E75D4">
              <w:rPr>
                <w:rFonts w:asciiTheme="majorHAnsi" w:hAnsiTheme="majorHAnsi" w:cstheme="majorHAnsi"/>
                <w:spacing w:val="-5"/>
                <w:sz w:val="20"/>
                <w:szCs w:val="20"/>
              </w:rPr>
              <w:t>s phase III</w:t>
            </w:r>
          </w:p>
        </w:tc>
        <w:tc>
          <w:tcPr>
            <w:tcW w:w="2301" w:type="pct"/>
          </w:tcPr>
          <w:p w14:paraId="68F23C13" w14:textId="77777777" w:rsidR="00C03EC4" w:rsidRPr="002E75D4" w:rsidRDefault="00C03EC4" w:rsidP="000D6136">
            <w:pPr>
              <w:ind w:left="159"/>
              <w:jc w:val="left"/>
              <w:rPr>
                <w:rFonts w:asciiTheme="majorHAnsi" w:eastAsia="Calibri" w:hAnsiTheme="majorHAnsi" w:cstheme="majorHAnsi"/>
                <w:sz w:val="20"/>
                <w:szCs w:val="20"/>
              </w:rPr>
            </w:pPr>
            <w:r w:rsidRPr="002E75D4">
              <w:rPr>
                <w:rFonts w:asciiTheme="majorHAnsi" w:eastAsia="Calibri" w:hAnsiTheme="majorHAnsi" w:cstheme="majorHAnsi"/>
                <w:spacing w:val="-1"/>
                <w:sz w:val="20"/>
                <w:szCs w:val="20"/>
              </w:rPr>
              <w:t>Plans</w:t>
            </w:r>
            <w:r w:rsidRPr="002E75D4">
              <w:rPr>
                <w:rFonts w:asciiTheme="majorHAnsi" w:eastAsia="Calibri" w:hAnsiTheme="majorHAnsi" w:cstheme="majorHAnsi"/>
                <w:sz w:val="20"/>
                <w:szCs w:val="20"/>
              </w:rPr>
              <w:t xml:space="preserve"> </w:t>
            </w:r>
            <w:r w:rsidRPr="002E75D4">
              <w:rPr>
                <w:rFonts w:asciiTheme="majorHAnsi" w:eastAsia="Calibri" w:hAnsiTheme="majorHAnsi" w:cstheme="majorHAnsi"/>
                <w:spacing w:val="-3"/>
                <w:sz w:val="20"/>
                <w:szCs w:val="20"/>
              </w:rPr>
              <w:t>d’aménagement</w:t>
            </w:r>
            <w:r w:rsidRPr="002E75D4">
              <w:rPr>
                <w:rFonts w:asciiTheme="majorHAnsi" w:eastAsia="Calibri" w:hAnsiTheme="majorHAnsi" w:cstheme="majorHAnsi"/>
                <w:spacing w:val="15"/>
                <w:sz w:val="20"/>
                <w:szCs w:val="20"/>
              </w:rPr>
              <w:t xml:space="preserve"> </w:t>
            </w:r>
            <w:r w:rsidRPr="002E75D4">
              <w:rPr>
                <w:rFonts w:asciiTheme="majorHAnsi" w:eastAsia="Calibri" w:hAnsiTheme="majorHAnsi" w:cstheme="majorHAnsi"/>
                <w:sz w:val="20"/>
                <w:szCs w:val="20"/>
              </w:rPr>
              <w:t xml:space="preserve">et </w:t>
            </w:r>
            <w:r w:rsidRPr="002E75D4">
              <w:rPr>
                <w:rFonts w:asciiTheme="majorHAnsi" w:eastAsia="Calibri" w:hAnsiTheme="majorHAnsi" w:cstheme="majorHAnsi"/>
                <w:spacing w:val="-3"/>
                <w:sz w:val="20"/>
                <w:szCs w:val="20"/>
              </w:rPr>
              <w:t>de</w:t>
            </w:r>
            <w:r w:rsidRPr="002E75D4">
              <w:rPr>
                <w:rFonts w:asciiTheme="majorHAnsi" w:eastAsia="Calibri" w:hAnsiTheme="majorHAnsi" w:cstheme="majorHAnsi"/>
                <w:sz w:val="20"/>
                <w:szCs w:val="20"/>
              </w:rPr>
              <w:t xml:space="preserve"> gestion</w:t>
            </w:r>
            <w:r w:rsidRPr="002E75D4">
              <w:rPr>
                <w:rFonts w:asciiTheme="majorHAnsi" w:eastAsia="Calibri" w:hAnsiTheme="majorHAnsi" w:cstheme="majorHAnsi"/>
                <w:spacing w:val="-1"/>
                <w:sz w:val="20"/>
                <w:szCs w:val="20"/>
              </w:rPr>
              <w:t xml:space="preserve"> </w:t>
            </w:r>
            <w:r w:rsidRPr="002E75D4">
              <w:rPr>
                <w:rFonts w:asciiTheme="majorHAnsi" w:eastAsia="Calibri" w:hAnsiTheme="majorHAnsi" w:cstheme="majorHAnsi"/>
                <w:spacing w:val="-3"/>
                <w:sz w:val="20"/>
                <w:szCs w:val="20"/>
              </w:rPr>
              <w:t>de</w:t>
            </w:r>
            <w:r w:rsidRPr="002E75D4">
              <w:rPr>
                <w:rFonts w:asciiTheme="majorHAnsi" w:eastAsia="Calibri" w:hAnsiTheme="majorHAnsi" w:cstheme="majorHAnsi"/>
                <w:sz w:val="20"/>
                <w:szCs w:val="20"/>
              </w:rPr>
              <w:t xml:space="preserve"> </w:t>
            </w:r>
            <w:r w:rsidRPr="002E75D4">
              <w:rPr>
                <w:rFonts w:asciiTheme="majorHAnsi" w:eastAsia="Calibri" w:hAnsiTheme="majorHAnsi" w:cstheme="majorHAnsi"/>
                <w:spacing w:val="2"/>
                <w:sz w:val="20"/>
                <w:szCs w:val="20"/>
              </w:rPr>
              <w:t>massifs</w:t>
            </w:r>
            <w:r w:rsidRPr="002E75D4">
              <w:rPr>
                <w:rFonts w:asciiTheme="majorHAnsi" w:eastAsia="Calibri" w:hAnsiTheme="majorHAnsi" w:cstheme="majorHAnsi"/>
                <w:sz w:val="20"/>
                <w:szCs w:val="20"/>
              </w:rPr>
              <w:t xml:space="preserve"> </w:t>
            </w:r>
            <w:r w:rsidRPr="002E75D4">
              <w:rPr>
                <w:rFonts w:asciiTheme="majorHAnsi" w:eastAsia="Calibri" w:hAnsiTheme="majorHAnsi" w:cstheme="majorHAnsi"/>
                <w:spacing w:val="-2"/>
                <w:sz w:val="20"/>
                <w:szCs w:val="20"/>
              </w:rPr>
              <w:t>forestiers</w:t>
            </w:r>
          </w:p>
          <w:p w14:paraId="2FF781E4" w14:textId="77777777" w:rsidR="00C03EC4" w:rsidRPr="002E75D4" w:rsidRDefault="00C03EC4" w:rsidP="000D6136">
            <w:pPr>
              <w:ind w:left="159"/>
              <w:jc w:val="left"/>
              <w:rPr>
                <w:rFonts w:asciiTheme="majorHAnsi" w:eastAsia="Calibri" w:hAnsiTheme="majorHAnsi" w:cstheme="majorHAnsi"/>
                <w:sz w:val="20"/>
                <w:szCs w:val="20"/>
              </w:rPr>
            </w:pPr>
            <w:r w:rsidRPr="002E75D4">
              <w:rPr>
                <w:rFonts w:asciiTheme="majorHAnsi" w:hAnsiTheme="majorHAnsi" w:cstheme="majorHAnsi"/>
                <w:spacing w:val="-2"/>
                <w:sz w:val="20"/>
                <w:szCs w:val="20"/>
              </w:rPr>
              <w:t>Exploitation</w:t>
            </w:r>
            <w:r w:rsidRPr="002E75D4">
              <w:rPr>
                <w:rFonts w:asciiTheme="majorHAnsi" w:hAnsiTheme="majorHAnsi" w:cstheme="majorHAnsi"/>
                <w:spacing w:val="-3"/>
                <w:sz w:val="20"/>
                <w:szCs w:val="20"/>
              </w:rPr>
              <w:t xml:space="preserve"> </w:t>
            </w:r>
            <w:r w:rsidRPr="002E75D4">
              <w:rPr>
                <w:rFonts w:asciiTheme="majorHAnsi" w:hAnsiTheme="majorHAnsi" w:cstheme="majorHAnsi"/>
                <w:spacing w:val="-2"/>
                <w:sz w:val="20"/>
                <w:szCs w:val="20"/>
              </w:rPr>
              <w:t>rationnelle</w:t>
            </w:r>
            <w:r w:rsidRPr="002E75D4">
              <w:rPr>
                <w:rFonts w:asciiTheme="majorHAnsi" w:hAnsiTheme="majorHAnsi" w:cstheme="majorHAnsi"/>
                <w:spacing w:val="18"/>
                <w:sz w:val="20"/>
                <w:szCs w:val="20"/>
              </w:rPr>
              <w:t xml:space="preserve"> </w:t>
            </w:r>
            <w:r w:rsidRPr="002E75D4">
              <w:rPr>
                <w:rFonts w:asciiTheme="majorHAnsi" w:hAnsiTheme="majorHAnsi" w:cstheme="majorHAnsi"/>
                <w:spacing w:val="-4"/>
                <w:sz w:val="20"/>
                <w:szCs w:val="20"/>
              </w:rPr>
              <w:t>du</w:t>
            </w:r>
            <w:r w:rsidRPr="002E75D4">
              <w:rPr>
                <w:rFonts w:asciiTheme="majorHAnsi" w:hAnsiTheme="majorHAnsi" w:cstheme="majorHAnsi"/>
                <w:spacing w:val="-3"/>
                <w:sz w:val="20"/>
                <w:szCs w:val="20"/>
              </w:rPr>
              <w:t xml:space="preserve"> bois</w:t>
            </w:r>
            <w:r w:rsidRPr="002E75D4">
              <w:rPr>
                <w:rFonts w:asciiTheme="majorHAnsi" w:hAnsiTheme="majorHAnsi" w:cstheme="majorHAnsi"/>
                <w:spacing w:val="14"/>
                <w:sz w:val="20"/>
                <w:szCs w:val="20"/>
              </w:rPr>
              <w:t xml:space="preserve"> </w:t>
            </w:r>
            <w:r w:rsidRPr="002E75D4">
              <w:rPr>
                <w:rFonts w:asciiTheme="majorHAnsi" w:hAnsiTheme="majorHAnsi" w:cstheme="majorHAnsi"/>
                <w:spacing w:val="-1"/>
                <w:sz w:val="20"/>
                <w:szCs w:val="20"/>
              </w:rPr>
              <w:t>énergie</w:t>
            </w:r>
            <w:r w:rsidRPr="002E75D4">
              <w:rPr>
                <w:rFonts w:asciiTheme="majorHAnsi" w:hAnsiTheme="majorHAnsi" w:cstheme="majorHAnsi"/>
                <w:sz w:val="20"/>
                <w:szCs w:val="20"/>
              </w:rPr>
              <w:t xml:space="preserve"> </w:t>
            </w:r>
            <w:r w:rsidRPr="002E75D4">
              <w:rPr>
                <w:rFonts w:asciiTheme="majorHAnsi" w:hAnsiTheme="majorHAnsi" w:cstheme="majorHAnsi"/>
                <w:spacing w:val="2"/>
                <w:sz w:val="20"/>
                <w:szCs w:val="20"/>
              </w:rPr>
              <w:t>dans</w:t>
            </w:r>
            <w:r w:rsidRPr="002E75D4">
              <w:rPr>
                <w:rFonts w:asciiTheme="majorHAnsi" w:hAnsiTheme="majorHAnsi" w:cstheme="majorHAnsi"/>
                <w:spacing w:val="-1"/>
                <w:sz w:val="20"/>
                <w:szCs w:val="20"/>
              </w:rPr>
              <w:t xml:space="preserve"> </w:t>
            </w:r>
            <w:r w:rsidRPr="002E75D4">
              <w:rPr>
                <w:rFonts w:asciiTheme="majorHAnsi" w:hAnsiTheme="majorHAnsi" w:cstheme="majorHAnsi"/>
                <w:sz w:val="20"/>
                <w:szCs w:val="20"/>
              </w:rPr>
              <w:t xml:space="preserve">ces </w:t>
            </w:r>
            <w:r w:rsidRPr="002E75D4">
              <w:rPr>
                <w:rFonts w:asciiTheme="majorHAnsi" w:hAnsiTheme="majorHAnsi" w:cstheme="majorHAnsi"/>
                <w:spacing w:val="2"/>
                <w:sz w:val="20"/>
                <w:szCs w:val="20"/>
              </w:rPr>
              <w:t>massifs</w:t>
            </w:r>
          </w:p>
        </w:tc>
        <w:tc>
          <w:tcPr>
            <w:tcW w:w="630" w:type="pct"/>
          </w:tcPr>
          <w:p w14:paraId="453ECB43" w14:textId="77777777" w:rsidR="00C03EC4" w:rsidRPr="002E75D4" w:rsidRDefault="00C03EC4" w:rsidP="000D6136">
            <w:pPr>
              <w:spacing w:after="60"/>
              <w:rPr>
                <w:rFonts w:asciiTheme="majorHAnsi" w:eastAsia="Calibri" w:hAnsiTheme="majorHAnsi" w:cstheme="majorHAnsi"/>
                <w:spacing w:val="-1"/>
                <w:sz w:val="20"/>
                <w:szCs w:val="20"/>
              </w:rPr>
            </w:pPr>
            <w:r w:rsidRPr="002E75D4">
              <w:rPr>
                <w:rFonts w:asciiTheme="majorHAnsi" w:eastAsia="Calibri" w:hAnsiTheme="majorHAnsi" w:cstheme="majorHAnsi"/>
                <w:spacing w:val="-1"/>
                <w:sz w:val="20"/>
                <w:szCs w:val="20"/>
              </w:rPr>
              <w:t>ASDI-Etat</w:t>
            </w:r>
          </w:p>
        </w:tc>
      </w:tr>
      <w:tr w:rsidR="00C03EC4" w:rsidRPr="002E75D4" w14:paraId="7CED7D6C" w14:textId="77777777" w:rsidTr="000D6136">
        <w:trPr>
          <w:cnfStyle w:val="000000100000" w:firstRow="0" w:lastRow="0" w:firstColumn="0" w:lastColumn="0" w:oddVBand="0" w:evenVBand="0" w:oddHBand="1" w:evenHBand="0" w:firstRowFirstColumn="0" w:firstRowLastColumn="0" w:lastRowFirstColumn="0" w:lastRowLastColumn="0"/>
          <w:trHeight w:hRule="exact" w:val="1140"/>
        </w:trPr>
        <w:tc>
          <w:tcPr>
            <w:tcW w:w="2068" w:type="pct"/>
            <w:shd w:val="clear" w:color="auto" w:fill="FFE1E1"/>
          </w:tcPr>
          <w:p w14:paraId="0A264DD5"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6"/>
                <w:sz w:val="20"/>
                <w:szCs w:val="20"/>
              </w:rPr>
              <w:t>Pr</w:t>
            </w:r>
            <w:r w:rsidRPr="002E75D4">
              <w:rPr>
                <w:rFonts w:asciiTheme="majorHAnsi" w:hAnsiTheme="majorHAnsi" w:cstheme="majorHAnsi"/>
                <w:spacing w:val="-5"/>
                <w:sz w:val="20"/>
                <w:szCs w:val="20"/>
              </w:rPr>
              <w:t>o</w:t>
            </w:r>
            <w:r w:rsidRPr="002E75D4">
              <w:rPr>
                <w:rFonts w:asciiTheme="majorHAnsi" w:hAnsiTheme="majorHAnsi" w:cstheme="majorHAnsi"/>
                <w:spacing w:val="-6"/>
                <w:sz w:val="20"/>
                <w:szCs w:val="20"/>
              </w:rPr>
              <w:t>gr</w:t>
            </w:r>
            <w:r w:rsidRPr="002E75D4">
              <w:rPr>
                <w:rFonts w:asciiTheme="majorHAnsi" w:hAnsiTheme="majorHAnsi" w:cstheme="majorHAnsi"/>
                <w:spacing w:val="-5"/>
                <w:sz w:val="20"/>
                <w:szCs w:val="20"/>
              </w:rPr>
              <w:t>a</w:t>
            </w:r>
            <w:r w:rsidRPr="002E75D4">
              <w:rPr>
                <w:rFonts w:asciiTheme="majorHAnsi" w:hAnsiTheme="majorHAnsi" w:cstheme="majorHAnsi"/>
                <w:spacing w:val="-6"/>
                <w:sz w:val="20"/>
                <w:szCs w:val="20"/>
              </w:rPr>
              <w:t>mme</w:t>
            </w:r>
            <w:r w:rsidRPr="002E75D4">
              <w:rPr>
                <w:rFonts w:asciiTheme="majorHAnsi" w:hAnsiTheme="majorHAnsi" w:cstheme="majorHAnsi"/>
                <w:spacing w:val="28"/>
                <w:sz w:val="20"/>
                <w:szCs w:val="20"/>
              </w:rPr>
              <w:t xml:space="preserve"> </w:t>
            </w:r>
            <w:r w:rsidRPr="002E75D4">
              <w:rPr>
                <w:rFonts w:asciiTheme="majorHAnsi" w:hAnsiTheme="majorHAnsi" w:cstheme="majorHAnsi"/>
                <w:spacing w:val="-4"/>
                <w:sz w:val="20"/>
                <w:szCs w:val="20"/>
              </w:rPr>
              <w:t>d</w:t>
            </w:r>
            <w:r w:rsidRPr="002E75D4">
              <w:rPr>
                <w:rFonts w:asciiTheme="majorHAnsi" w:hAnsiTheme="majorHAnsi" w:cstheme="majorHAnsi"/>
                <w:spacing w:val="-5"/>
                <w:sz w:val="20"/>
                <w:szCs w:val="20"/>
              </w:rPr>
              <w:t>e</w:t>
            </w:r>
            <w:r w:rsidRPr="002E75D4">
              <w:rPr>
                <w:rFonts w:asciiTheme="majorHAnsi" w:hAnsiTheme="majorHAnsi" w:cstheme="majorHAnsi"/>
                <w:spacing w:val="2"/>
                <w:sz w:val="20"/>
                <w:szCs w:val="20"/>
              </w:rPr>
              <w:t xml:space="preserve"> </w:t>
            </w:r>
            <w:r w:rsidRPr="002E75D4">
              <w:rPr>
                <w:rFonts w:asciiTheme="majorHAnsi" w:hAnsiTheme="majorHAnsi" w:cstheme="majorHAnsi"/>
                <w:sz w:val="20"/>
                <w:szCs w:val="20"/>
              </w:rPr>
              <w:t>Développement</w:t>
            </w:r>
          </w:p>
          <w:p w14:paraId="7A848F4F"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2"/>
                <w:sz w:val="20"/>
                <w:szCs w:val="20"/>
              </w:rPr>
              <w:t>Durable</w:t>
            </w:r>
            <w:r w:rsidRPr="002E75D4">
              <w:rPr>
                <w:rFonts w:asciiTheme="majorHAnsi" w:hAnsiTheme="majorHAnsi" w:cstheme="majorHAnsi"/>
                <w:sz w:val="20"/>
                <w:szCs w:val="20"/>
              </w:rPr>
              <w:t xml:space="preserve"> </w:t>
            </w:r>
            <w:r w:rsidRPr="002E75D4">
              <w:rPr>
                <w:rFonts w:asciiTheme="majorHAnsi" w:hAnsiTheme="majorHAnsi" w:cstheme="majorHAnsi"/>
                <w:spacing w:val="7"/>
                <w:sz w:val="20"/>
                <w:szCs w:val="20"/>
              </w:rPr>
              <w:t>dans</w:t>
            </w:r>
            <w:r w:rsidRPr="002E75D4">
              <w:rPr>
                <w:rFonts w:asciiTheme="majorHAnsi" w:hAnsiTheme="majorHAnsi" w:cstheme="majorHAnsi"/>
                <w:sz w:val="20"/>
                <w:szCs w:val="20"/>
              </w:rPr>
              <w:t xml:space="preserve"> </w:t>
            </w:r>
            <w:r w:rsidRPr="002E75D4">
              <w:rPr>
                <w:rFonts w:asciiTheme="majorHAnsi" w:hAnsiTheme="majorHAnsi" w:cstheme="majorHAnsi"/>
                <w:spacing w:val="2"/>
                <w:sz w:val="20"/>
                <w:szCs w:val="20"/>
              </w:rPr>
              <w:t>le</w:t>
            </w:r>
            <w:r w:rsidRPr="002E75D4">
              <w:rPr>
                <w:rFonts w:asciiTheme="majorHAnsi" w:hAnsiTheme="majorHAnsi" w:cstheme="majorHAnsi"/>
                <w:spacing w:val="-10"/>
                <w:sz w:val="20"/>
                <w:szCs w:val="20"/>
              </w:rPr>
              <w:t xml:space="preserve"> </w:t>
            </w:r>
            <w:r w:rsidRPr="002E75D4">
              <w:rPr>
                <w:rFonts w:asciiTheme="majorHAnsi" w:hAnsiTheme="majorHAnsi" w:cstheme="majorHAnsi"/>
                <w:sz w:val="20"/>
                <w:szCs w:val="20"/>
              </w:rPr>
              <w:t>Delta</w:t>
            </w:r>
            <w:r w:rsidRPr="002E75D4">
              <w:rPr>
                <w:rFonts w:asciiTheme="majorHAnsi" w:hAnsiTheme="majorHAnsi" w:cstheme="majorHAnsi"/>
                <w:spacing w:val="8"/>
                <w:sz w:val="20"/>
                <w:szCs w:val="20"/>
              </w:rPr>
              <w:t xml:space="preserve"> </w:t>
            </w:r>
            <w:r w:rsidRPr="002E75D4">
              <w:rPr>
                <w:rFonts w:asciiTheme="majorHAnsi" w:hAnsiTheme="majorHAnsi" w:cstheme="majorHAnsi"/>
                <w:spacing w:val="-4"/>
                <w:sz w:val="20"/>
                <w:szCs w:val="20"/>
              </w:rPr>
              <w:t>du</w:t>
            </w:r>
            <w:r w:rsidRPr="002E75D4">
              <w:rPr>
                <w:rFonts w:asciiTheme="majorHAnsi" w:hAnsiTheme="majorHAnsi" w:cstheme="majorHAnsi"/>
                <w:spacing w:val="-2"/>
                <w:sz w:val="20"/>
                <w:szCs w:val="20"/>
              </w:rPr>
              <w:t xml:space="preserve"> </w:t>
            </w:r>
            <w:r w:rsidRPr="002E75D4">
              <w:rPr>
                <w:rFonts w:asciiTheme="majorHAnsi" w:hAnsiTheme="majorHAnsi" w:cstheme="majorHAnsi"/>
                <w:sz w:val="20"/>
                <w:szCs w:val="20"/>
              </w:rPr>
              <w:t>Niger phase II</w:t>
            </w:r>
          </w:p>
        </w:tc>
        <w:tc>
          <w:tcPr>
            <w:tcW w:w="2301" w:type="pct"/>
          </w:tcPr>
          <w:p w14:paraId="4A7ACCF9" w14:textId="77777777" w:rsidR="00C03EC4" w:rsidRPr="002E75D4" w:rsidRDefault="00C03EC4" w:rsidP="000D6136">
            <w:pPr>
              <w:ind w:left="159"/>
              <w:jc w:val="left"/>
              <w:rPr>
                <w:rFonts w:asciiTheme="majorHAnsi" w:eastAsia="Calibri" w:hAnsiTheme="majorHAnsi" w:cstheme="majorHAnsi"/>
                <w:sz w:val="20"/>
                <w:szCs w:val="20"/>
              </w:rPr>
            </w:pPr>
            <w:r w:rsidRPr="002E75D4">
              <w:rPr>
                <w:rFonts w:asciiTheme="majorHAnsi" w:eastAsia="Calibri" w:hAnsiTheme="majorHAnsi" w:cstheme="majorHAnsi"/>
                <w:spacing w:val="-1"/>
                <w:sz w:val="20"/>
                <w:szCs w:val="20"/>
              </w:rPr>
              <w:t>Elaboration et mise en œuvre des plans</w:t>
            </w:r>
            <w:r w:rsidRPr="002E75D4">
              <w:rPr>
                <w:rFonts w:asciiTheme="majorHAnsi" w:eastAsia="Calibri" w:hAnsiTheme="majorHAnsi" w:cstheme="majorHAnsi"/>
                <w:sz w:val="20"/>
                <w:szCs w:val="20"/>
              </w:rPr>
              <w:t xml:space="preserve"> </w:t>
            </w:r>
            <w:r w:rsidRPr="002E75D4">
              <w:rPr>
                <w:rFonts w:asciiTheme="majorHAnsi" w:eastAsia="Calibri" w:hAnsiTheme="majorHAnsi" w:cstheme="majorHAnsi"/>
                <w:spacing w:val="-3"/>
                <w:sz w:val="20"/>
                <w:szCs w:val="20"/>
              </w:rPr>
              <w:t>d’aménagement</w:t>
            </w:r>
            <w:r w:rsidRPr="002E75D4">
              <w:rPr>
                <w:rFonts w:asciiTheme="majorHAnsi" w:eastAsia="Calibri" w:hAnsiTheme="majorHAnsi" w:cstheme="majorHAnsi"/>
                <w:spacing w:val="14"/>
                <w:sz w:val="20"/>
                <w:szCs w:val="20"/>
              </w:rPr>
              <w:t xml:space="preserve"> </w:t>
            </w:r>
            <w:r w:rsidRPr="002E75D4">
              <w:rPr>
                <w:rFonts w:asciiTheme="majorHAnsi" w:eastAsia="Calibri" w:hAnsiTheme="majorHAnsi" w:cstheme="majorHAnsi"/>
                <w:sz w:val="20"/>
                <w:szCs w:val="20"/>
              </w:rPr>
              <w:t xml:space="preserve">et </w:t>
            </w:r>
            <w:r w:rsidRPr="002E75D4">
              <w:rPr>
                <w:rFonts w:asciiTheme="majorHAnsi" w:eastAsia="Calibri" w:hAnsiTheme="majorHAnsi" w:cstheme="majorHAnsi"/>
                <w:spacing w:val="-3"/>
                <w:sz w:val="20"/>
                <w:szCs w:val="20"/>
              </w:rPr>
              <w:t>de</w:t>
            </w:r>
            <w:r w:rsidRPr="002E75D4">
              <w:rPr>
                <w:rFonts w:asciiTheme="majorHAnsi" w:eastAsia="Calibri" w:hAnsiTheme="majorHAnsi" w:cstheme="majorHAnsi"/>
                <w:spacing w:val="5"/>
                <w:sz w:val="20"/>
                <w:szCs w:val="20"/>
              </w:rPr>
              <w:t xml:space="preserve"> </w:t>
            </w:r>
            <w:r w:rsidRPr="002E75D4">
              <w:rPr>
                <w:rFonts w:asciiTheme="majorHAnsi" w:eastAsia="Calibri" w:hAnsiTheme="majorHAnsi" w:cstheme="majorHAnsi"/>
                <w:sz w:val="20"/>
                <w:szCs w:val="20"/>
              </w:rPr>
              <w:t xml:space="preserve">gestion </w:t>
            </w:r>
            <w:r w:rsidRPr="002E75D4">
              <w:rPr>
                <w:rFonts w:asciiTheme="majorHAnsi" w:eastAsia="Calibri" w:hAnsiTheme="majorHAnsi" w:cstheme="majorHAnsi"/>
                <w:spacing w:val="-3"/>
                <w:sz w:val="20"/>
                <w:szCs w:val="20"/>
              </w:rPr>
              <w:t>des</w:t>
            </w:r>
            <w:r w:rsidRPr="002E75D4">
              <w:rPr>
                <w:rFonts w:asciiTheme="majorHAnsi" w:eastAsia="Calibri" w:hAnsiTheme="majorHAnsi" w:cstheme="majorHAnsi"/>
                <w:spacing w:val="2"/>
                <w:sz w:val="20"/>
                <w:szCs w:val="20"/>
              </w:rPr>
              <w:t xml:space="preserve"> </w:t>
            </w:r>
            <w:r w:rsidRPr="002E75D4">
              <w:rPr>
                <w:rFonts w:asciiTheme="majorHAnsi" w:eastAsia="Calibri" w:hAnsiTheme="majorHAnsi" w:cstheme="majorHAnsi"/>
                <w:spacing w:val="-5"/>
                <w:sz w:val="20"/>
                <w:szCs w:val="20"/>
              </w:rPr>
              <w:t>Fo</w:t>
            </w:r>
            <w:r w:rsidRPr="002E75D4">
              <w:rPr>
                <w:rFonts w:asciiTheme="majorHAnsi" w:eastAsia="Calibri" w:hAnsiTheme="majorHAnsi" w:cstheme="majorHAnsi"/>
                <w:spacing w:val="-6"/>
                <w:sz w:val="20"/>
                <w:szCs w:val="20"/>
              </w:rPr>
              <w:t>rêt</w:t>
            </w:r>
            <w:r w:rsidRPr="002E75D4">
              <w:rPr>
                <w:rFonts w:asciiTheme="majorHAnsi" w:eastAsia="Calibri" w:hAnsiTheme="majorHAnsi" w:cstheme="majorHAnsi"/>
                <w:spacing w:val="-5"/>
                <w:sz w:val="20"/>
                <w:szCs w:val="20"/>
              </w:rPr>
              <w:t>s</w:t>
            </w:r>
            <w:r w:rsidRPr="002E75D4">
              <w:rPr>
                <w:rFonts w:asciiTheme="majorHAnsi" w:eastAsia="Calibri" w:hAnsiTheme="majorHAnsi" w:cstheme="majorHAnsi"/>
                <w:spacing w:val="15"/>
                <w:sz w:val="20"/>
                <w:szCs w:val="20"/>
              </w:rPr>
              <w:t xml:space="preserve"> </w:t>
            </w:r>
            <w:r w:rsidRPr="002E75D4">
              <w:rPr>
                <w:rFonts w:asciiTheme="majorHAnsi" w:eastAsia="Calibri" w:hAnsiTheme="majorHAnsi" w:cstheme="majorHAnsi"/>
                <w:spacing w:val="4"/>
                <w:sz w:val="20"/>
                <w:szCs w:val="20"/>
              </w:rPr>
              <w:t>Classées</w:t>
            </w:r>
          </w:p>
          <w:p w14:paraId="64164F49" w14:textId="77777777" w:rsidR="00C03EC4" w:rsidRPr="002E75D4" w:rsidRDefault="00C03EC4" w:rsidP="000D6136">
            <w:pPr>
              <w:ind w:left="159"/>
              <w:jc w:val="left"/>
              <w:rPr>
                <w:rFonts w:asciiTheme="majorHAnsi" w:eastAsia="Calibri" w:hAnsiTheme="majorHAnsi" w:cstheme="majorHAnsi"/>
                <w:sz w:val="20"/>
                <w:szCs w:val="20"/>
              </w:rPr>
            </w:pPr>
            <w:r w:rsidRPr="002E75D4">
              <w:rPr>
                <w:rFonts w:asciiTheme="majorHAnsi" w:eastAsia="Calibri" w:hAnsiTheme="majorHAnsi" w:cstheme="majorHAnsi"/>
                <w:spacing w:val="-2"/>
                <w:sz w:val="20"/>
                <w:szCs w:val="20"/>
              </w:rPr>
              <w:t>Plantations</w:t>
            </w:r>
            <w:r w:rsidRPr="002E75D4">
              <w:rPr>
                <w:rFonts w:asciiTheme="majorHAnsi" w:eastAsia="Calibri" w:hAnsiTheme="majorHAnsi" w:cstheme="majorHAnsi"/>
                <w:spacing w:val="16"/>
                <w:sz w:val="20"/>
                <w:szCs w:val="20"/>
              </w:rPr>
              <w:t xml:space="preserve"> </w:t>
            </w:r>
            <w:r w:rsidRPr="002E75D4">
              <w:rPr>
                <w:rFonts w:asciiTheme="majorHAnsi" w:eastAsia="Calibri" w:hAnsiTheme="majorHAnsi" w:cstheme="majorHAnsi"/>
                <w:spacing w:val="-3"/>
                <w:sz w:val="20"/>
                <w:szCs w:val="20"/>
              </w:rPr>
              <w:t>de</w:t>
            </w:r>
            <w:r w:rsidRPr="002E75D4">
              <w:rPr>
                <w:rFonts w:asciiTheme="majorHAnsi" w:eastAsia="Calibri" w:hAnsiTheme="majorHAnsi" w:cstheme="majorHAnsi"/>
                <w:spacing w:val="50"/>
                <w:sz w:val="20"/>
                <w:szCs w:val="20"/>
              </w:rPr>
              <w:t xml:space="preserve"> </w:t>
            </w:r>
            <w:r w:rsidRPr="002E75D4">
              <w:rPr>
                <w:rFonts w:asciiTheme="majorHAnsi" w:eastAsia="Calibri" w:hAnsiTheme="majorHAnsi" w:cstheme="majorHAnsi"/>
                <w:spacing w:val="-2"/>
                <w:sz w:val="20"/>
                <w:szCs w:val="20"/>
              </w:rPr>
              <w:t>Bosquets</w:t>
            </w:r>
            <w:r w:rsidRPr="002E75D4">
              <w:rPr>
                <w:rFonts w:asciiTheme="majorHAnsi" w:eastAsia="Calibri" w:hAnsiTheme="majorHAnsi" w:cstheme="majorHAnsi"/>
                <w:spacing w:val="16"/>
                <w:sz w:val="20"/>
                <w:szCs w:val="20"/>
              </w:rPr>
              <w:t xml:space="preserve"> </w:t>
            </w:r>
            <w:r w:rsidRPr="002E75D4">
              <w:rPr>
                <w:rFonts w:asciiTheme="majorHAnsi" w:eastAsia="Calibri" w:hAnsiTheme="majorHAnsi" w:cstheme="majorHAnsi"/>
                <w:sz w:val="20"/>
                <w:szCs w:val="20"/>
              </w:rPr>
              <w:t>villageois et</w:t>
            </w:r>
            <w:r w:rsidRPr="002E75D4">
              <w:rPr>
                <w:rFonts w:asciiTheme="majorHAnsi" w:eastAsia="Calibri" w:hAnsiTheme="majorHAnsi" w:cstheme="majorHAnsi"/>
                <w:spacing w:val="-15"/>
                <w:sz w:val="20"/>
                <w:szCs w:val="20"/>
              </w:rPr>
              <w:t xml:space="preserve"> </w:t>
            </w:r>
            <w:r w:rsidRPr="002E75D4">
              <w:rPr>
                <w:rFonts w:asciiTheme="majorHAnsi" w:eastAsia="Calibri" w:hAnsiTheme="majorHAnsi" w:cstheme="majorHAnsi"/>
                <w:spacing w:val="-4"/>
                <w:sz w:val="20"/>
                <w:szCs w:val="20"/>
              </w:rPr>
              <w:t>d’arbres</w:t>
            </w:r>
            <w:r w:rsidRPr="002E75D4">
              <w:rPr>
                <w:rFonts w:asciiTheme="majorHAnsi" w:eastAsia="Calibri" w:hAnsiTheme="majorHAnsi" w:cstheme="majorHAnsi"/>
                <w:spacing w:val="17"/>
                <w:sz w:val="20"/>
                <w:szCs w:val="20"/>
              </w:rPr>
              <w:t xml:space="preserve"> </w:t>
            </w:r>
            <w:r w:rsidRPr="002E75D4">
              <w:rPr>
                <w:rFonts w:asciiTheme="majorHAnsi" w:eastAsia="Calibri" w:hAnsiTheme="majorHAnsi" w:cstheme="majorHAnsi"/>
                <w:spacing w:val="-3"/>
                <w:sz w:val="20"/>
                <w:szCs w:val="20"/>
              </w:rPr>
              <w:t>fruitiers</w:t>
            </w:r>
          </w:p>
        </w:tc>
        <w:tc>
          <w:tcPr>
            <w:tcW w:w="630" w:type="pct"/>
            <w:shd w:val="clear" w:color="auto" w:fill="FFE599" w:themeFill="accent4" w:themeFillTint="66"/>
          </w:tcPr>
          <w:p w14:paraId="46EC93C3" w14:textId="77777777" w:rsidR="00C03EC4" w:rsidRPr="002E75D4" w:rsidRDefault="00C03EC4" w:rsidP="000D6136">
            <w:pPr>
              <w:spacing w:after="60"/>
              <w:rPr>
                <w:rFonts w:asciiTheme="majorHAnsi" w:eastAsia="Calibri" w:hAnsiTheme="majorHAnsi" w:cstheme="majorHAnsi"/>
                <w:spacing w:val="-1"/>
                <w:sz w:val="20"/>
                <w:szCs w:val="20"/>
              </w:rPr>
            </w:pPr>
            <w:r w:rsidRPr="002E75D4">
              <w:rPr>
                <w:rFonts w:asciiTheme="majorHAnsi" w:eastAsia="Calibri" w:hAnsiTheme="majorHAnsi" w:cstheme="majorHAnsi"/>
                <w:spacing w:val="-1"/>
                <w:sz w:val="20"/>
                <w:szCs w:val="20"/>
              </w:rPr>
              <w:t>ASDI-Etat</w:t>
            </w:r>
          </w:p>
        </w:tc>
      </w:tr>
      <w:tr w:rsidR="00C03EC4" w:rsidRPr="002E75D4" w14:paraId="17E1A5BF" w14:textId="77777777" w:rsidTr="000D6136">
        <w:trPr>
          <w:trHeight w:hRule="exact" w:val="785"/>
        </w:trPr>
        <w:tc>
          <w:tcPr>
            <w:tcW w:w="2068" w:type="pct"/>
            <w:shd w:val="clear" w:color="auto" w:fill="FFF3F3"/>
          </w:tcPr>
          <w:p w14:paraId="3DF1936B"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eastAsia="Calibri" w:hAnsiTheme="majorHAnsi" w:cstheme="majorHAnsi"/>
                <w:spacing w:val="-3"/>
                <w:sz w:val="20"/>
                <w:szCs w:val="20"/>
              </w:rPr>
              <w:t>Projet</w:t>
            </w:r>
            <w:r w:rsidRPr="002E75D4">
              <w:rPr>
                <w:rFonts w:asciiTheme="majorHAnsi" w:eastAsia="Calibri" w:hAnsiTheme="majorHAnsi" w:cstheme="majorHAnsi"/>
                <w:spacing w:val="12"/>
                <w:sz w:val="20"/>
                <w:szCs w:val="20"/>
              </w:rPr>
              <w:t xml:space="preserve"> </w:t>
            </w:r>
            <w:r w:rsidRPr="002E75D4">
              <w:rPr>
                <w:rFonts w:asciiTheme="majorHAnsi" w:eastAsia="Calibri" w:hAnsiTheme="majorHAnsi" w:cstheme="majorHAnsi"/>
                <w:spacing w:val="-4"/>
                <w:sz w:val="20"/>
                <w:szCs w:val="20"/>
              </w:rPr>
              <w:t>d</w:t>
            </w:r>
            <w:r w:rsidRPr="002E75D4">
              <w:rPr>
                <w:rFonts w:asciiTheme="majorHAnsi" w:eastAsia="Calibri" w:hAnsiTheme="majorHAnsi" w:cstheme="majorHAnsi"/>
                <w:spacing w:val="-5"/>
                <w:sz w:val="20"/>
                <w:szCs w:val="20"/>
              </w:rPr>
              <w:t>e</w:t>
            </w:r>
            <w:r w:rsidRPr="002E75D4">
              <w:rPr>
                <w:rFonts w:asciiTheme="majorHAnsi" w:eastAsia="Calibri" w:hAnsiTheme="majorHAnsi" w:cstheme="majorHAnsi"/>
                <w:spacing w:val="4"/>
                <w:sz w:val="20"/>
                <w:szCs w:val="20"/>
              </w:rPr>
              <w:t xml:space="preserve"> </w:t>
            </w:r>
            <w:r w:rsidRPr="002E75D4">
              <w:rPr>
                <w:rFonts w:asciiTheme="majorHAnsi" w:eastAsia="Calibri" w:hAnsiTheme="majorHAnsi" w:cstheme="majorHAnsi"/>
                <w:spacing w:val="-3"/>
                <w:sz w:val="20"/>
                <w:szCs w:val="20"/>
              </w:rPr>
              <w:t>Lutte</w:t>
            </w:r>
            <w:r w:rsidRPr="002E75D4">
              <w:rPr>
                <w:rFonts w:asciiTheme="majorHAnsi" w:eastAsia="Calibri" w:hAnsiTheme="majorHAnsi" w:cstheme="majorHAnsi"/>
                <w:spacing w:val="19"/>
                <w:sz w:val="20"/>
                <w:szCs w:val="20"/>
              </w:rPr>
              <w:t xml:space="preserve"> </w:t>
            </w:r>
            <w:r w:rsidRPr="002E75D4">
              <w:rPr>
                <w:rFonts w:asciiTheme="majorHAnsi" w:eastAsia="Calibri" w:hAnsiTheme="majorHAnsi" w:cstheme="majorHAnsi"/>
                <w:spacing w:val="-4"/>
                <w:sz w:val="20"/>
                <w:szCs w:val="20"/>
              </w:rPr>
              <w:t>Con</w:t>
            </w:r>
            <w:r w:rsidRPr="002E75D4">
              <w:rPr>
                <w:rFonts w:asciiTheme="majorHAnsi" w:eastAsia="Calibri" w:hAnsiTheme="majorHAnsi" w:cstheme="majorHAnsi"/>
                <w:spacing w:val="-5"/>
                <w:sz w:val="20"/>
                <w:szCs w:val="20"/>
              </w:rPr>
              <w:t>tre</w:t>
            </w:r>
            <w:r w:rsidRPr="002E75D4">
              <w:rPr>
                <w:rFonts w:asciiTheme="majorHAnsi" w:eastAsia="Calibri" w:hAnsiTheme="majorHAnsi" w:cstheme="majorHAnsi"/>
                <w:spacing w:val="23"/>
                <w:w w:val="99"/>
                <w:sz w:val="20"/>
                <w:szCs w:val="20"/>
              </w:rPr>
              <w:t xml:space="preserve"> </w:t>
            </w:r>
            <w:r w:rsidRPr="002E75D4">
              <w:rPr>
                <w:rFonts w:asciiTheme="majorHAnsi" w:eastAsia="Calibri" w:hAnsiTheme="majorHAnsi" w:cstheme="majorHAnsi"/>
                <w:spacing w:val="-1"/>
                <w:sz w:val="20"/>
                <w:szCs w:val="20"/>
              </w:rPr>
              <w:t>l’Ensablement</w:t>
            </w:r>
            <w:r w:rsidRPr="002E75D4">
              <w:rPr>
                <w:rFonts w:asciiTheme="majorHAnsi" w:eastAsia="Calibri" w:hAnsiTheme="majorHAnsi" w:cstheme="majorHAnsi"/>
                <w:sz w:val="20"/>
                <w:szCs w:val="20"/>
              </w:rPr>
              <w:t xml:space="preserve"> </w:t>
            </w:r>
            <w:r w:rsidRPr="002E75D4">
              <w:rPr>
                <w:rFonts w:asciiTheme="majorHAnsi" w:eastAsia="Calibri" w:hAnsiTheme="majorHAnsi" w:cstheme="majorHAnsi"/>
                <w:spacing w:val="-3"/>
                <w:sz w:val="20"/>
                <w:szCs w:val="20"/>
              </w:rPr>
              <w:t>du</w:t>
            </w:r>
            <w:r w:rsidRPr="002E75D4">
              <w:rPr>
                <w:rFonts w:asciiTheme="majorHAnsi" w:eastAsia="Calibri" w:hAnsiTheme="majorHAnsi" w:cstheme="majorHAnsi"/>
                <w:spacing w:val="-1"/>
                <w:sz w:val="20"/>
                <w:szCs w:val="20"/>
              </w:rPr>
              <w:t xml:space="preserve"> </w:t>
            </w:r>
            <w:r w:rsidRPr="002E75D4">
              <w:rPr>
                <w:rFonts w:asciiTheme="majorHAnsi" w:eastAsia="Calibri" w:hAnsiTheme="majorHAnsi" w:cstheme="majorHAnsi"/>
                <w:spacing w:val="-2"/>
                <w:sz w:val="20"/>
                <w:szCs w:val="20"/>
              </w:rPr>
              <w:t>Fleuve</w:t>
            </w:r>
            <w:r w:rsidRPr="002E75D4">
              <w:rPr>
                <w:rFonts w:asciiTheme="majorHAnsi" w:eastAsia="Calibri" w:hAnsiTheme="majorHAnsi" w:cstheme="majorHAnsi"/>
                <w:spacing w:val="21"/>
                <w:sz w:val="20"/>
                <w:szCs w:val="20"/>
              </w:rPr>
              <w:t xml:space="preserve"> </w:t>
            </w:r>
            <w:r w:rsidRPr="002E75D4">
              <w:rPr>
                <w:rFonts w:asciiTheme="majorHAnsi" w:eastAsia="Calibri" w:hAnsiTheme="majorHAnsi" w:cstheme="majorHAnsi"/>
                <w:sz w:val="20"/>
                <w:szCs w:val="20"/>
              </w:rPr>
              <w:t>Niger</w:t>
            </w:r>
          </w:p>
        </w:tc>
        <w:tc>
          <w:tcPr>
            <w:tcW w:w="2301" w:type="pct"/>
          </w:tcPr>
          <w:p w14:paraId="77B13B05" w14:textId="77777777" w:rsidR="00C03EC4" w:rsidRPr="002E75D4" w:rsidRDefault="00C03EC4" w:rsidP="000D6136">
            <w:pPr>
              <w:ind w:left="159"/>
              <w:jc w:val="left"/>
              <w:rPr>
                <w:rFonts w:asciiTheme="majorHAnsi" w:eastAsia="Calibri" w:hAnsiTheme="majorHAnsi" w:cstheme="majorHAnsi"/>
                <w:sz w:val="20"/>
                <w:szCs w:val="20"/>
              </w:rPr>
            </w:pPr>
            <w:r w:rsidRPr="002E75D4">
              <w:rPr>
                <w:rFonts w:asciiTheme="majorHAnsi" w:hAnsiTheme="majorHAnsi" w:cstheme="majorHAnsi"/>
                <w:spacing w:val="-1"/>
                <w:sz w:val="20"/>
                <w:szCs w:val="20"/>
              </w:rPr>
              <w:t>Fixation</w:t>
            </w:r>
            <w:r w:rsidRPr="002E75D4">
              <w:rPr>
                <w:rFonts w:asciiTheme="majorHAnsi" w:hAnsiTheme="majorHAnsi" w:cstheme="majorHAnsi"/>
                <w:spacing w:val="-2"/>
                <w:sz w:val="20"/>
                <w:szCs w:val="20"/>
              </w:rPr>
              <w:t xml:space="preserve"> </w:t>
            </w:r>
            <w:r w:rsidRPr="002E75D4">
              <w:rPr>
                <w:rFonts w:asciiTheme="majorHAnsi" w:hAnsiTheme="majorHAnsi" w:cstheme="majorHAnsi"/>
                <w:spacing w:val="-4"/>
                <w:sz w:val="20"/>
                <w:szCs w:val="20"/>
              </w:rPr>
              <w:t>d</w:t>
            </w:r>
            <w:r w:rsidRPr="002E75D4">
              <w:rPr>
                <w:rFonts w:asciiTheme="majorHAnsi" w:hAnsiTheme="majorHAnsi" w:cstheme="majorHAnsi"/>
                <w:spacing w:val="-5"/>
                <w:sz w:val="20"/>
                <w:szCs w:val="20"/>
              </w:rPr>
              <w:t>e</w:t>
            </w:r>
            <w:r w:rsidRPr="002E75D4">
              <w:rPr>
                <w:rFonts w:asciiTheme="majorHAnsi" w:hAnsiTheme="majorHAnsi" w:cstheme="majorHAnsi"/>
                <w:spacing w:val="5"/>
                <w:sz w:val="20"/>
                <w:szCs w:val="20"/>
              </w:rPr>
              <w:t xml:space="preserve"> </w:t>
            </w:r>
            <w:r w:rsidRPr="002E75D4">
              <w:rPr>
                <w:rFonts w:asciiTheme="majorHAnsi" w:hAnsiTheme="majorHAnsi" w:cstheme="majorHAnsi"/>
                <w:spacing w:val="-5"/>
                <w:sz w:val="20"/>
                <w:szCs w:val="20"/>
              </w:rPr>
              <w:t>dun</w:t>
            </w:r>
            <w:r w:rsidRPr="002E75D4">
              <w:rPr>
                <w:rFonts w:asciiTheme="majorHAnsi" w:hAnsiTheme="majorHAnsi" w:cstheme="majorHAnsi"/>
                <w:spacing w:val="-6"/>
                <w:sz w:val="20"/>
                <w:szCs w:val="20"/>
              </w:rPr>
              <w:t>es</w:t>
            </w:r>
          </w:p>
          <w:p w14:paraId="65323623" w14:textId="77777777" w:rsidR="00C03EC4" w:rsidRPr="002E75D4" w:rsidRDefault="00C03EC4" w:rsidP="000D6136">
            <w:pPr>
              <w:ind w:left="159"/>
              <w:jc w:val="left"/>
              <w:rPr>
                <w:rFonts w:asciiTheme="majorHAnsi" w:eastAsia="Calibri" w:hAnsiTheme="majorHAnsi" w:cstheme="majorHAnsi"/>
                <w:sz w:val="20"/>
                <w:szCs w:val="20"/>
              </w:rPr>
            </w:pPr>
            <w:r w:rsidRPr="002E75D4">
              <w:rPr>
                <w:rFonts w:asciiTheme="majorHAnsi" w:hAnsiTheme="majorHAnsi" w:cstheme="majorHAnsi"/>
                <w:spacing w:val="-2"/>
                <w:sz w:val="20"/>
                <w:szCs w:val="20"/>
              </w:rPr>
              <w:t>Plantations</w:t>
            </w:r>
            <w:r w:rsidRPr="002E75D4">
              <w:rPr>
                <w:rFonts w:asciiTheme="majorHAnsi" w:hAnsiTheme="majorHAnsi" w:cstheme="majorHAnsi"/>
                <w:spacing w:val="12"/>
                <w:sz w:val="20"/>
                <w:szCs w:val="20"/>
              </w:rPr>
              <w:t xml:space="preserve"> </w:t>
            </w:r>
            <w:r w:rsidRPr="002E75D4">
              <w:rPr>
                <w:rFonts w:asciiTheme="majorHAnsi" w:hAnsiTheme="majorHAnsi" w:cstheme="majorHAnsi"/>
                <w:spacing w:val="-1"/>
                <w:sz w:val="20"/>
                <w:szCs w:val="20"/>
              </w:rPr>
              <w:t>forestières</w:t>
            </w:r>
          </w:p>
        </w:tc>
        <w:tc>
          <w:tcPr>
            <w:tcW w:w="630" w:type="pct"/>
            <w:shd w:val="clear" w:color="auto" w:fill="FFF2CC" w:themeFill="accent4" w:themeFillTint="33"/>
          </w:tcPr>
          <w:p w14:paraId="5253B85A" w14:textId="77777777" w:rsidR="00C03EC4" w:rsidRPr="002E75D4" w:rsidRDefault="00C03EC4" w:rsidP="000D6136">
            <w:pPr>
              <w:spacing w:after="60"/>
              <w:rPr>
                <w:rFonts w:asciiTheme="majorHAnsi" w:hAnsiTheme="majorHAnsi" w:cstheme="majorHAnsi"/>
                <w:spacing w:val="-1"/>
                <w:sz w:val="20"/>
                <w:szCs w:val="20"/>
              </w:rPr>
            </w:pPr>
            <w:r w:rsidRPr="002E75D4">
              <w:rPr>
                <w:rFonts w:asciiTheme="majorHAnsi" w:hAnsiTheme="majorHAnsi" w:cstheme="majorHAnsi"/>
                <w:spacing w:val="-1"/>
                <w:sz w:val="20"/>
                <w:szCs w:val="20"/>
              </w:rPr>
              <w:t>UEMOA</w:t>
            </w:r>
          </w:p>
          <w:p w14:paraId="70D43427" w14:textId="77777777" w:rsidR="00C03EC4" w:rsidRPr="002E75D4" w:rsidRDefault="00C03EC4" w:rsidP="000D6136">
            <w:pPr>
              <w:spacing w:after="60"/>
              <w:rPr>
                <w:rFonts w:asciiTheme="majorHAnsi" w:hAnsiTheme="majorHAnsi" w:cstheme="majorHAnsi"/>
                <w:spacing w:val="-1"/>
                <w:sz w:val="20"/>
                <w:szCs w:val="20"/>
              </w:rPr>
            </w:pPr>
            <w:r w:rsidRPr="002E75D4">
              <w:rPr>
                <w:rFonts w:asciiTheme="majorHAnsi" w:hAnsiTheme="majorHAnsi" w:cstheme="majorHAnsi"/>
                <w:spacing w:val="-1"/>
                <w:sz w:val="20"/>
                <w:szCs w:val="20"/>
              </w:rPr>
              <w:t>UE -Etat</w:t>
            </w:r>
          </w:p>
        </w:tc>
      </w:tr>
      <w:tr w:rsidR="00C03EC4" w:rsidRPr="002E75D4" w14:paraId="47579006" w14:textId="77777777" w:rsidTr="000D6136">
        <w:trPr>
          <w:cnfStyle w:val="000000100000" w:firstRow="0" w:lastRow="0" w:firstColumn="0" w:lastColumn="0" w:oddVBand="0" w:evenVBand="0" w:oddHBand="1" w:evenHBand="0" w:firstRowFirstColumn="0" w:firstRowLastColumn="0" w:lastRowFirstColumn="0" w:lastRowLastColumn="0"/>
          <w:trHeight w:hRule="exact" w:val="907"/>
        </w:trPr>
        <w:tc>
          <w:tcPr>
            <w:tcW w:w="2068" w:type="pct"/>
            <w:shd w:val="clear" w:color="auto" w:fill="FFE1E1"/>
          </w:tcPr>
          <w:p w14:paraId="46A04151"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eastAsia="Calibri" w:hAnsiTheme="majorHAnsi" w:cstheme="majorHAnsi"/>
                <w:sz w:val="20"/>
                <w:szCs w:val="20"/>
              </w:rPr>
              <w:t>Projets des ONG intervenant dans le reboisement et gestions durable des terres et ressources forestières</w:t>
            </w:r>
          </w:p>
        </w:tc>
        <w:tc>
          <w:tcPr>
            <w:tcW w:w="2301" w:type="pct"/>
          </w:tcPr>
          <w:p w14:paraId="0CF68B5C" w14:textId="77777777" w:rsidR="00C03EC4" w:rsidRPr="002E75D4" w:rsidRDefault="00C03EC4" w:rsidP="000D6136">
            <w:pPr>
              <w:ind w:left="159"/>
              <w:jc w:val="left"/>
              <w:rPr>
                <w:rFonts w:asciiTheme="majorHAnsi" w:eastAsia="Calibri" w:hAnsiTheme="majorHAnsi" w:cstheme="majorHAnsi"/>
                <w:sz w:val="20"/>
                <w:szCs w:val="20"/>
              </w:rPr>
            </w:pPr>
          </w:p>
        </w:tc>
        <w:tc>
          <w:tcPr>
            <w:tcW w:w="630" w:type="pct"/>
            <w:shd w:val="clear" w:color="auto" w:fill="FFE599" w:themeFill="accent4" w:themeFillTint="66"/>
          </w:tcPr>
          <w:p w14:paraId="694CEE1C" w14:textId="77777777" w:rsidR="00C03EC4" w:rsidRPr="002E75D4" w:rsidRDefault="00C03EC4" w:rsidP="000D6136">
            <w:pPr>
              <w:spacing w:after="60"/>
              <w:rPr>
                <w:rFonts w:asciiTheme="majorHAnsi" w:eastAsia="Calibri" w:hAnsiTheme="majorHAnsi" w:cstheme="majorHAnsi"/>
                <w:sz w:val="20"/>
                <w:szCs w:val="20"/>
                <w:highlight w:val="yellow"/>
              </w:rPr>
            </w:pPr>
            <w:r w:rsidRPr="002E75D4">
              <w:rPr>
                <w:rFonts w:asciiTheme="majorHAnsi" w:eastAsia="Calibri" w:hAnsiTheme="majorHAnsi" w:cstheme="majorHAnsi"/>
                <w:sz w:val="20"/>
                <w:szCs w:val="20"/>
              </w:rPr>
              <w:t>ONG -PTF</w:t>
            </w:r>
          </w:p>
        </w:tc>
      </w:tr>
      <w:tr w:rsidR="00C03EC4" w:rsidRPr="002E75D4" w14:paraId="0C01CFD7" w14:textId="77777777" w:rsidTr="000D6136">
        <w:trPr>
          <w:trHeight w:hRule="exact" w:val="921"/>
        </w:trPr>
        <w:tc>
          <w:tcPr>
            <w:tcW w:w="2068" w:type="pct"/>
            <w:shd w:val="clear" w:color="auto" w:fill="FFF3F3"/>
          </w:tcPr>
          <w:p w14:paraId="053D0695" w14:textId="77777777" w:rsidR="00C03EC4" w:rsidRPr="002E75D4" w:rsidRDefault="00C03EC4" w:rsidP="000D6136">
            <w:pPr>
              <w:pStyle w:val="Sansinterligne"/>
              <w:spacing w:after="60"/>
              <w:ind w:left="175"/>
              <w:jc w:val="left"/>
              <w:rPr>
                <w:rFonts w:asciiTheme="majorHAnsi" w:hAnsiTheme="majorHAnsi" w:cstheme="majorHAnsi"/>
                <w:sz w:val="20"/>
                <w:szCs w:val="20"/>
              </w:rPr>
            </w:pPr>
            <w:r w:rsidRPr="002E75D4">
              <w:rPr>
                <w:rFonts w:asciiTheme="majorHAnsi" w:eastAsia="Calibri" w:hAnsiTheme="majorHAnsi" w:cstheme="majorHAnsi"/>
                <w:sz w:val="20"/>
                <w:szCs w:val="20"/>
              </w:rPr>
              <w:t>Projet Régional d’appui au pastoralisme au Sahel (PRAPS)</w:t>
            </w:r>
          </w:p>
        </w:tc>
        <w:tc>
          <w:tcPr>
            <w:tcW w:w="2301" w:type="pct"/>
          </w:tcPr>
          <w:p w14:paraId="113231C9" w14:textId="77777777" w:rsidR="00C03EC4" w:rsidRPr="002E75D4" w:rsidRDefault="00C03EC4" w:rsidP="000D6136">
            <w:pPr>
              <w:jc w:val="left"/>
              <w:rPr>
                <w:rFonts w:asciiTheme="majorHAnsi" w:eastAsia="Calibri" w:hAnsiTheme="majorHAnsi" w:cstheme="majorHAnsi"/>
                <w:sz w:val="20"/>
                <w:szCs w:val="20"/>
              </w:rPr>
            </w:pPr>
            <w:r w:rsidRPr="002E75D4">
              <w:rPr>
                <w:rFonts w:asciiTheme="majorHAnsi" w:eastAsia="Calibri" w:hAnsiTheme="majorHAnsi" w:cstheme="majorHAnsi"/>
                <w:sz w:val="20"/>
                <w:szCs w:val="20"/>
              </w:rPr>
              <w:t>- Créations des périmètres pastoraux,</w:t>
            </w:r>
          </w:p>
          <w:p w14:paraId="4DACB393" w14:textId="77777777" w:rsidR="00C03EC4" w:rsidRPr="002E75D4" w:rsidRDefault="00C03EC4" w:rsidP="000D6136">
            <w:pPr>
              <w:jc w:val="left"/>
              <w:rPr>
                <w:rFonts w:asciiTheme="majorHAnsi" w:eastAsia="Calibri" w:hAnsiTheme="majorHAnsi" w:cstheme="majorHAnsi"/>
                <w:sz w:val="20"/>
                <w:szCs w:val="20"/>
              </w:rPr>
            </w:pPr>
            <w:r w:rsidRPr="002E75D4">
              <w:rPr>
                <w:rFonts w:asciiTheme="majorHAnsi" w:eastAsia="Calibri" w:hAnsiTheme="majorHAnsi" w:cstheme="majorHAnsi"/>
                <w:sz w:val="20"/>
                <w:szCs w:val="20"/>
              </w:rPr>
              <w:t>- Balisage/réhabilitation des pistes de transhumance,</w:t>
            </w:r>
          </w:p>
          <w:p w14:paraId="7571FA25" w14:textId="77777777" w:rsidR="00C03EC4" w:rsidRPr="002E75D4" w:rsidRDefault="00C03EC4" w:rsidP="000D6136">
            <w:pPr>
              <w:jc w:val="left"/>
              <w:rPr>
                <w:rFonts w:asciiTheme="majorHAnsi" w:eastAsia="Calibri" w:hAnsiTheme="majorHAnsi" w:cstheme="majorHAnsi"/>
                <w:sz w:val="20"/>
                <w:szCs w:val="20"/>
              </w:rPr>
            </w:pPr>
            <w:r w:rsidRPr="002E75D4">
              <w:rPr>
                <w:rFonts w:asciiTheme="majorHAnsi" w:eastAsia="Calibri" w:hAnsiTheme="majorHAnsi" w:cstheme="majorHAnsi"/>
                <w:sz w:val="20"/>
                <w:szCs w:val="20"/>
              </w:rPr>
              <w:t>- Appui à la diffusion des cultures fourragères</w:t>
            </w:r>
          </w:p>
          <w:p w14:paraId="3096654A" w14:textId="77777777" w:rsidR="00C03EC4" w:rsidRPr="002E75D4" w:rsidRDefault="00C03EC4" w:rsidP="000D6136">
            <w:pPr>
              <w:jc w:val="left"/>
              <w:rPr>
                <w:rFonts w:asciiTheme="majorHAnsi" w:eastAsia="Calibri" w:hAnsiTheme="majorHAnsi" w:cstheme="majorHAnsi"/>
                <w:sz w:val="20"/>
                <w:szCs w:val="20"/>
                <w:highlight w:val="yellow"/>
              </w:rPr>
            </w:pPr>
          </w:p>
          <w:p w14:paraId="14B88780" w14:textId="77777777" w:rsidR="00C03EC4" w:rsidRPr="002E75D4" w:rsidRDefault="00C03EC4" w:rsidP="000D6136">
            <w:pPr>
              <w:jc w:val="left"/>
              <w:rPr>
                <w:rFonts w:asciiTheme="majorHAnsi" w:eastAsia="Calibri" w:hAnsiTheme="majorHAnsi" w:cstheme="majorHAnsi"/>
                <w:sz w:val="20"/>
                <w:szCs w:val="20"/>
                <w:highlight w:val="yellow"/>
              </w:rPr>
            </w:pPr>
          </w:p>
          <w:p w14:paraId="0632F526" w14:textId="77777777" w:rsidR="00C03EC4" w:rsidRPr="002E75D4" w:rsidRDefault="00C03EC4" w:rsidP="000D6136">
            <w:pPr>
              <w:jc w:val="left"/>
              <w:rPr>
                <w:rFonts w:asciiTheme="majorHAnsi" w:eastAsia="Calibri" w:hAnsiTheme="majorHAnsi" w:cstheme="majorHAnsi"/>
                <w:sz w:val="20"/>
                <w:szCs w:val="20"/>
                <w:highlight w:val="yellow"/>
              </w:rPr>
            </w:pPr>
          </w:p>
          <w:p w14:paraId="6BF35665" w14:textId="77777777" w:rsidR="00C03EC4" w:rsidRPr="002E75D4" w:rsidRDefault="00C03EC4" w:rsidP="000D6136">
            <w:pPr>
              <w:ind w:left="159"/>
              <w:jc w:val="left"/>
              <w:rPr>
                <w:rFonts w:asciiTheme="majorHAnsi" w:eastAsia="Calibri" w:hAnsiTheme="majorHAnsi" w:cstheme="majorHAnsi"/>
                <w:sz w:val="20"/>
                <w:szCs w:val="20"/>
                <w:highlight w:val="yellow"/>
              </w:rPr>
            </w:pPr>
          </w:p>
          <w:p w14:paraId="7146453E" w14:textId="77777777" w:rsidR="00C03EC4" w:rsidRPr="002E75D4" w:rsidRDefault="00C03EC4" w:rsidP="000D6136">
            <w:pPr>
              <w:ind w:left="159"/>
              <w:jc w:val="left"/>
              <w:rPr>
                <w:rFonts w:asciiTheme="majorHAnsi" w:eastAsia="Calibri" w:hAnsiTheme="majorHAnsi" w:cstheme="majorHAnsi"/>
                <w:sz w:val="20"/>
                <w:szCs w:val="20"/>
                <w:highlight w:val="yellow"/>
              </w:rPr>
            </w:pPr>
          </w:p>
        </w:tc>
        <w:tc>
          <w:tcPr>
            <w:tcW w:w="630" w:type="pct"/>
            <w:shd w:val="clear" w:color="auto" w:fill="FFF2CC" w:themeFill="accent4" w:themeFillTint="33"/>
          </w:tcPr>
          <w:p w14:paraId="2FDB52BC" w14:textId="77777777" w:rsidR="00C03EC4" w:rsidRPr="002E75D4" w:rsidRDefault="00C03EC4" w:rsidP="000D6136">
            <w:pPr>
              <w:spacing w:after="60"/>
              <w:rPr>
                <w:rFonts w:asciiTheme="majorHAnsi" w:eastAsia="Calibri" w:hAnsiTheme="majorHAnsi" w:cstheme="majorHAnsi"/>
                <w:sz w:val="20"/>
                <w:szCs w:val="20"/>
                <w:highlight w:val="yellow"/>
              </w:rPr>
            </w:pPr>
            <w:r w:rsidRPr="002E75D4">
              <w:rPr>
                <w:rFonts w:asciiTheme="majorHAnsi" w:eastAsia="Calibri" w:hAnsiTheme="majorHAnsi" w:cstheme="majorHAnsi"/>
                <w:sz w:val="20"/>
                <w:szCs w:val="20"/>
              </w:rPr>
              <w:t>BM-</w:t>
            </w:r>
            <w:r w:rsidRPr="002E75D4">
              <w:rPr>
                <w:rFonts w:asciiTheme="majorHAnsi" w:hAnsiTheme="majorHAnsi" w:cstheme="majorHAnsi"/>
                <w:spacing w:val="-1"/>
                <w:sz w:val="20"/>
                <w:szCs w:val="20"/>
              </w:rPr>
              <w:t xml:space="preserve"> Etat</w:t>
            </w:r>
          </w:p>
        </w:tc>
      </w:tr>
      <w:tr w:rsidR="00C03EC4" w:rsidRPr="002E75D4" w14:paraId="6BE9F2CB" w14:textId="77777777" w:rsidTr="000D6136">
        <w:trPr>
          <w:cnfStyle w:val="000000100000" w:firstRow="0" w:lastRow="0" w:firstColumn="0" w:lastColumn="0" w:oddVBand="0" w:evenVBand="0" w:oddHBand="1" w:evenHBand="0" w:firstRowFirstColumn="0" w:firstRowLastColumn="0" w:lastRowFirstColumn="0" w:lastRowLastColumn="0"/>
          <w:trHeight w:hRule="exact" w:val="572"/>
        </w:trPr>
        <w:tc>
          <w:tcPr>
            <w:tcW w:w="2068" w:type="pct"/>
            <w:shd w:val="clear" w:color="auto" w:fill="FFE1E1"/>
          </w:tcPr>
          <w:p w14:paraId="3C8F20E8"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5"/>
                <w:sz w:val="20"/>
                <w:szCs w:val="20"/>
              </w:rPr>
              <w:t>Projet sur les Fo</w:t>
            </w:r>
            <w:r w:rsidRPr="002E75D4">
              <w:rPr>
                <w:rFonts w:asciiTheme="majorHAnsi" w:hAnsiTheme="majorHAnsi" w:cstheme="majorHAnsi"/>
                <w:spacing w:val="-6"/>
                <w:sz w:val="20"/>
                <w:szCs w:val="20"/>
              </w:rPr>
              <w:t>yer</w:t>
            </w:r>
            <w:r w:rsidRPr="002E75D4">
              <w:rPr>
                <w:rFonts w:asciiTheme="majorHAnsi" w:hAnsiTheme="majorHAnsi" w:cstheme="majorHAnsi"/>
                <w:spacing w:val="-5"/>
                <w:sz w:val="20"/>
                <w:szCs w:val="20"/>
              </w:rPr>
              <w:t>s</w:t>
            </w:r>
            <w:r w:rsidRPr="002E75D4">
              <w:rPr>
                <w:rFonts w:asciiTheme="majorHAnsi" w:hAnsiTheme="majorHAnsi" w:cstheme="majorHAnsi"/>
                <w:spacing w:val="13"/>
                <w:sz w:val="20"/>
                <w:szCs w:val="20"/>
              </w:rPr>
              <w:t xml:space="preserve"> </w:t>
            </w:r>
            <w:r w:rsidRPr="002E75D4">
              <w:rPr>
                <w:rFonts w:asciiTheme="majorHAnsi" w:hAnsiTheme="majorHAnsi" w:cstheme="majorHAnsi"/>
                <w:spacing w:val="-2"/>
                <w:sz w:val="20"/>
                <w:szCs w:val="20"/>
              </w:rPr>
              <w:t>améliorés</w:t>
            </w:r>
            <w:r w:rsidRPr="002E75D4">
              <w:rPr>
                <w:rFonts w:asciiTheme="majorHAnsi" w:hAnsiTheme="majorHAnsi" w:cstheme="majorHAnsi"/>
                <w:spacing w:val="13"/>
                <w:sz w:val="20"/>
                <w:szCs w:val="20"/>
              </w:rPr>
              <w:t xml:space="preserve"> </w:t>
            </w:r>
            <w:r w:rsidRPr="002E75D4">
              <w:rPr>
                <w:rFonts w:asciiTheme="majorHAnsi" w:hAnsiTheme="majorHAnsi" w:cstheme="majorHAnsi"/>
                <w:spacing w:val="-3"/>
                <w:sz w:val="20"/>
                <w:szCs w:val="20"/>
              </w:rPr>
              <w:t>(MDP)</w:t>
            </w:r>
          </w:p>
        </w:tc>
        <w:tc>
          <w:tcPr>
            <w:tcW w:w="2301" w:type="pct"/>
          </w:tcPr>
          <w:p w14:paraId="59EE27CA" w14:textId="77777777" w:rsidR="00C03EC4" w:rsidRPr="002E75D4" w:rsidRDefault="00C03EC4" w:rsidP="000D6136">
            <w:pPr>
              <w:ind w:left="159"/>
              <w:jc w:val="left"/>
              <w:rPr>
                <w:rFonts w:asciiTheme="majorHAnsi" w:eastAsia="Calibri" w:hAnsiTheme="majorHAnsi" w:cstheme="majorHAnsi"/>
                <w:sz w:val="20"/>
                <w:szCs w:val="20"/>
              </w:rPr>
            </w:pPr>
            <w:r w:rsidRPr="002E75D4">
              <w:rPr>
                <w:rFonts w:asciiTheme="majorHAnsi" w:hAnsiTheme="majorHAnsi" w:cstheme="majorHAnsi"/>
                <w:sz w:val="20"/>
                <w:szCs w:val="20"/>
              </w:rPr>
              <w:t>Vulgarisation</w:t>
            </w:r>
            <w:r w:rsidRPr="002E75D4">
              <w:rPr>
                <w:rFonts w:asciiTheme="majorHAnsi" w:hAnsiTheme="majorHAnsi" w:cstheme="majorHAnsi"/>
                <w:spacing w:val="-17"/>
                <w:sz w:val="20"/>
                <w:szCs w:val="20"/>
              </w:rPr>
              <w:t xml:space="preserve"> </w:t>
            </w:r>
            <w:r w:rsidRPr="002E75D4">
              <w:rPr>
                <w:rFonts w:asciiTheme="majorHAnsi" w:hAnsiTheme="majorHAnsi" w:cstheme="majorHAnsi"/>
                <w:spacing w:val="-4"/>
                <w:sz w:val="20"/>
                <w:szCs w:val="20"/>
              </w:rPr>
              <w:t>d</w:t>
            </w:r>
            <w:r w:rsidRPr="002E75D4">
              <w:rPr>
                <w:rFonts w:asciiTheme="majorHAnsi" w:hAnsiTheme="majorHAnsi" w:cstheme="majorHAnsi"/>
                <w:spacing w:val="-5"/>
                <w:sz w:val="20"/>
                <w:szCs w:val="20"/>
              </w:rPr>
              <w:t>e</w:t>
            </w:r>
            <w:r w:rsidRPr="002E75D4">
              <w:rPr>
                <w:rFonts w:asciiTheme="majorHAnsi" w:hAnsiTheme="majorHAnsi" w:cstheme="majorHAnsi"/>
                <w:spacing w:val="9"/>
                <w:sz w:val="20"/>
                <w:szCs w:val="20"/>
              </w:rPr>
              <w:t xml:space="preserve"> </w:t>
            </w:r>
            <w:r w:rsidRPr="002E75D4">
              <w:rPr>
                <w:rFonts w:asciiTheme="majorHAnsi" w:hAnsiTheme="majorHAnsi" w:cstheme="majorHAnsi"/>
                <w:spacing w:val="-4"/>
                <w:sz w:val="20"/>
                <w:szCs w:val="20"/>
              </w:rPr>
              <w:t>fo</w:t>
            </w:r>
            <w:r w:rsidRPr="002E75D4">
              <w:rPr>
                <w:rFonts w:asciiTheme="majorHAnsi" w:hAnsiTheme="majorHAnsi" w:cstheme="majorHAnsi"/>
                <w:spacing w:val="-5"/>
                <w:sz w:val="20"/>
                <w:szCs w:val="20"/>
              </w:rPr>
              <w:t>yer</w:t>
            </w:r>
            <w:r w:rsidRPr="002E75D4">
              <w:rPr>
                <w:rFonts w:asciiTheme="majorHAnsi" w:hAnsiTheme="majorHAnsi" w:cstheme="majorHAnsi"/>
                <w:spacing w:val="-4"/>
                <w:sz w:val="20"/>
                <w:szCs w:val="20"/>
              </w:rPr>
              <w:t>s</w:t>
            </w:r>
            <w:r w:rsidRPr="002E75D4">
              <w:rPr>
                <w:rFonts w:asciiTheme="majorHAnsi" w:hAnsiTheme="majorHAnsi" w:cstheme="majorHAnsi"/>
                <w:spacing w:val="16"/>
                <w:sz w:val="20"/>
                <w:szCs w:val="20"/>
              </w:rPr>
              <w:t xml:space="preserve"> </w:t>
            </w:r>
            <w:r w:rsidRPr="002E75D4">
              <w:rPr>
                <w:rFonts w:asciiTheme="majorHAnsi" w:hAnsiTheme="majorHAnsi" w:cstheme="majorHAnsi"/>
                <w:spacing w:val="-5"/>
                <w:sz w:val="20"/>
                <w:szCs w:val="20"/>
              </w:rPr>
              <w:t>éc</w:t>
            </w:r>
            <w:r w:rsidRPr="002E75D4">
              <w:rPr>
                <w:rFonts w:asciiTheme="majorHAnsi" w:hAnsiTheme="majorHAnsi" w:cstheme="majorHAnsi"/>
                <w:spacing w:val="-4"/>
                <w:sz w:val="20"/>
                <w:szCs w:val="20"/>
              </w:rPr>
              <w:t>ono</w:t>
            </w:r>
            <w:r w:rsidRPr="002E75D4">
              <w:rPr>
                <w:rFonts w:asciiTheme="majorHAnsi" w:hAnsiTheme="majorHAnsi" w:cstheme="majorHAnsi"/>
                <w:spacing w:val="-5"/>
                <w:sz w:val="20"/>
                <w:szCs w:val="20"/>
              </w:rPr>
              <w:t>me</w:t>
            </w:r>
            <w:r w:rsidRPr="002E75D4">
              <w:rPr>
                <w:rFonts w:asciiTheme="majorHAnsi" w:hAnsiTheme="majorHAnsi" w:cstheme="majorHAnsi"/>
                <w:spacing w:val="-4"/>
                <w:sz w:val="20"/>
                <w:szCs w:val="20"/>
              </w:rPr>
              <w:t>s</w:t>
            </w:r>
            <w:r w:rsidRPr="002E75D4">
              <w:rPr>
                <w:rFonts w:asciiTheme="majorHAnsi" w:hAnsiTheme="majorHAnsi" w:cstheme="majorHAnsi"/>
                <w:spacing w:val="30"/>
                <w:sz w:val="20"/>
                <w:szCs w:val="20"/>
              </w:rPr>
              <w:t xml:space="preserve"> </w:t>
            </w:r>
            <w:r w:rsidRPr="002E75D4">
              <w:rPr>
                <w:rFonts w:asciiTheme="majorHAnsi" w:hAnsiTheme="majorHAnsi" w:cstheme="majorHAnsi"/>
                <w:sz w:val="20"/>
                <w:szCs w:val="20"/>
              </w:rPr>
              <w:t>en</w:t>
            </w:r>
            <w:r w:rsidRPr="002E75D4">
              <w:rPr>
                <w:rFonts w:asciiTheme="majorHAnsi" w:hAnsiTheme="majorHAnsi" w:cstheme="majorHAnsi"/>
                <w:spacing w:val="43"/>
                <w:sz w:val="20"/>
                <w:szCs w:val="20"/>
              </w:rPr>
              <w:t xml:space="preserve"> </w:t>
            </w:r>
            <w:r w:rsidRPr="002E75D4">
              <w:rPr>
                <w:rFonts w:asciiTheme="majorHAnsi" w:hAnsiTheme="majorHAnsi" w:cstheme="majorHAnsi"/>
                <w:spacing w:val="-3"/>
                <w:sz w:val="20"/>
                <w:szCs w:val="20"/>
              </w:rPr>
              <w:t>bois</w:t>
            </w:r>
            <w:r w:rsidRPr="002E75D4">
              <w:rPr>
                <w:rFonts w:asciiTheme="majorHAnsi" w:hAnsiTheme="majorHAnsi" w:cstheme="majorHAnsi"/>
                <w:spacing w:val="15"/>
                <w:sz w:val="20"/>
                <w:szCs w:val="20"/>
              </w:rPr>
              <w:t xml:space="preserve"> énergie</w:t>
            </w:r>
          </w:p>
        </w:tc>
        <w:tc>
          <w:tcPr>
            <w:tcW w:w="630" w:type="pct"/>
            <w:shd w:val="clear" w:color="auto" w:fill="FFE599" w:themeFill="accent4" w:themeFillTint="66"/>
          </w:tcPr>
          <w:p w14:paraId="2079637A" w14:textId="77777777" w:rsidR="00C03EC4" w:rsidRPr="002E75D4" w:rsidRDefault="00C03EC4" w:rsidP="000D6136">
            <w:pPr>
              <w:spacing w:after="60"/>
              <w:rPr>
                <w:rFonts w:asciiTheme="majorHAnsi" w:hAnsiTheme="majorHAnsi" w:cstheme="majorHAnsi"/>
                <w:sz w:val="20"/>
                <w:szCs w:val="20"/>
              </w:rPr>
            </w:pPr>
            <w:r w:rsidRPr="002E75D4">
              <w:rPr>
                <w:rFonts w:asciiTheme="majorHAnsi" w:hAnsiTheme="majorHAnsi" w:cstheme="majorHAnsi"/>
                <w:sz w:val="20"/>
                <w:szCs w:val="20"/>
              </w:rPr>
              <w:t>Promoteurs privés</w:t>
            </w:r>
          </w:p>
        </w:tc>
      </w:tr>
      <w:tr w:rsidR="00C03EC4" w:rsidRPr="002E75D4" w14:paraId="17106F2E" w14:textId="77777777" w:rsidTr="000D6136">
        <w:trPr>
          <w:trHeight w:hRule="exact" w:val="566"/>
        </w:trPr>
        <w:tc>
          <w:tcPr>
            <w:tcW w:w="2068" w:type="pct"/>
            <w:shd w:val="clear" w:color="auto" w:fill="FFF3F3"/>
          </w:tcPr>
          <w:p w14:paraId="09144DC9"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1"/>
                <w:sz w:val="20"/>
                <w:szCs w:val="20"/>
              </w:rPr>
              <w:t>Projet “Valorisation</w:t>
            </w:r>
            <w:r w:rsidRPr="002E75D4">
              <w:rPr>
                <w:rFonts w:asciiTheme="majorHAnsi" w:hAnsiTheme="majorHAnsi" w:cstheme="majorHAnsi"/>
                <w:spacing w:val="-7"/>
                <w:sz w:val="20"/>
                <w:szCs w:val="20"/>
              </w:rPr>
              <w:t xml:space="preserve"> de l’</w:t>
            </w:r>
            <w:r w:rsidRPr="002E75D4">
              <w:rPr>
                <w:rFonts w:asciiTheme="majorHAnsi" w:hAnsiTheme="majorHAnsi" w:cstheme="majorHAnsi"/>
                <w:spacing w:val="-1"/>
                <w:sz w:val="20"/>
                <w:szCs w:val="20"/>
              </w:rPr>
              <w:t>énergie</w:t>
            </w:r>
            <w:r w:rsidRPr="002E75D4">
              <w:rPr>
                <w:rFonts w:asciiTheme="majorHAnsi" w:hAnsiTheme="majorHAnsi" w:cstheme="majorHAnsi"/>
                <w:spacing w:val="-13"/>
                <w:sz w:val="20"/>
                <w:szCs w:val="20"/>
              </w:rPr>
              <w:t xml:space="preserve"> </w:t>
            </w:r>
            <w:r w:rsidRPr="002E75D4">
              <w:rPr>
                <w:rFonts w:asciiTheme="majorHAnsi" w:hAnsiTheme="majorHAnsi" w:cstheme="majorHAnsi"/>
                <w:spacing w:val="-3"/>
                <w:sz w:val="20"/>
                <w:szCs w:val="20"/>
              </w:rPr>
              <w:t>(MDP)”</w:t>
            </w:r>
          </w:p>
        </w:tc>
        <w:tc>
          <w:tcPr>
            <w:tcW w:w="2301" w:type="pct"/>
          </w:tcPr>
          <w:p w14:paraId="6AF8CB31" w14:textId="77777777" w:rsidR="00C03EC4" w:rsidRPr="002E75D4" w:rsidRDefault="00C03EC4" w:rsidP="000D6136">
            <w:pPr>
              <w:ind w:left="159"/>
              <w:jc w:val="left"/>
              <w:rPr>
                <w:rFonts w:asciiTheme="majorHAnsi" w:eastAsia="Calibri" w:hAnsiTheme="majorHAnsi" w:cstheme="majorHAnsi"/>
                <w:sz w:val="20"/>
                <w:szCs w:val="20"/>
              </w:rPr>
            </w:pPr>
            <w:r w:rsidRPr="002E75D4">
              <w:rPr>
                <w:rFonts w:asciiTheme="majorHAnsi" w:hAnsiTheme="majorHAnsi" w:cstheme="majorHAnsi"/>
                <w:spacing w:val="-5"/>
                <w:sz w:val="20"/>
                <w:szCs w:val="20"/>
              </w:rPr>
              <w:t>Pr</w:t>
            </w:r>
            <w:r w:rsidRPr="002E75D4">
              <w:rPr>
                <w:rFonts w:asciiTheme="majorHAnsi" w:hAnsiTheme="majorHAnsi" w:cstheme="majorHAnsi"/>
                <w:spacing w:val="-4"/>
                <w:sz w:val="20"/>
                <w:szCs w:val="20"/>
              </w:rPr>
              <w:t>odu</w:t>
            </w:r>
            <w:r w:rsidRPr="002E75D4">
              <w:rPr>
                <w:rFonts w:asciiTheme="majorHAnsi" w:hAnsiTheme="majorHAnsi" w:cstheme="majorHAnsi"/>
                <w:spacing w:val="-5"/>
                <w:sz w:val="20"/>
                <w:szCs w:val="20"/>
              </w:rPr>
              <w:t>ct</w:t>
            </w:r>
            <w:r w:rsidRPr="002E75D4">
              <w:rPr>
                <w:rFonts w:asciiTheme="majorHAnsi" w:hAnsiTheme="majorHAnsi" w:cstheme="majorHAnsi"/>
                <w:spacing w:val="-4"/>
                <w:sz w:val="20"/>
                <w:szCs w:val="20"/>
              </w:rPr>
              <w:t>ion</w:t>
            </w:r>
            <w:r w:rsidRPr="002E75D4">
              <w:rPr>
                <w:rFonts w:asciiTheme="majorHAnsi" w:hAnsiTheme="majorHAnsi" w:cstheme="majorHAnsi"/>
                <w:spacing w:val="27"/>
                <w:sz w:val="20"/>
                <w:szCs w:val="20"/>
              </w:rPr>
              <w:t xml:space="preserve"> </w:t>
            </w:r>
            <w:r w:rsidRPr="002E75D4">
              <w:rPr>
                <w:rFonts w:asciiTheme="majorHAnsi" w:hAnsiTheme="majorHAnsi" w:cstheme="majorHAnsi"/>
                <w:spacing w:val="-4"/>
                <w:sz w:val="20"/>
                <w:szCs w:val="20"/>
              </w:rPr>
              <w:t>d</w:t>
            </w:r>
            <w:r w:rsidRPr="002E75D4">
              <w:rPr>
                <w:rFonts w:asciiTheme="majorHAnsi" w:hAnsiTheme="majorHAnsi" w:cstheme="majorHAnsi"/>
                <w:spacing w:val="-5"/>
                <w:sz w:val="20"/>
                <w:szCs w:val="20"/>
              </w:rPr>
              <w:t>e</w:t>
            </w:r>
            <w:r w:rsidRPr="002E75D4">
              <w:rPr>
                <w:rFonts w:asciiTheme="majorHAnsi" w:hAnsiTheme="majorHAnsi" w:cstheme="majorHAnsi"/>
                <w:spacing w:val="5"/>
                <w:sz w:val="20"/>
                <w:szCs w:val="20"/>
              </w:rPr>
              <w:t xml:space="preserve"> </w:t>
            </w:r>
            <w:r w:rsidRPr="002E75D4">
              <w:rPr>
                <w:rFonts w:asciiTheme="majorHAnsi" w:hAnsiTheme="majorHAnsi" w:cstheme="majorHAnsi"/>
                <w:spacing w:val="-4"/>
                <w:sz w:val="20"/>
                <w:szCs w:val="20"/>
              </w:rPr>
              <w:t>b</w:t>
            </w:r>
            <w:r w:rsidRPr="002E75D4">
              <w:rPr>
                <w:rFonts w:asciiTheme="majorHAnsi" w:hAnsiTheme="majorHAnsi" w:cstheme="majorHAnsi"/>
                <w:spacing w:val="-5"/>
                <w:sz w:val="20"/>
                <w:szCs w:val="20"/>
              </w:rPr>
              <w:t>r</w:t>
            </w:r>
            <w:r w:rsidRPr="002E75D4">
              <w:rPr>
                <w:rFonts w:asciiTheme="majorHAnsi" w:hAnsiTheme="majorHAnsi" w:cstheme="majorHAnsi"/>
                <w:spacing w:val="-4"/>
                <w:sz w:val="20"/>
                <w:szCs w:val="20"/>
              </w:rPr>
              <w:t>iqu</w:t>
            </w:r>
            <w:r w:rsidRPr="002E75D4">
              <w:rPr>
                <w:rFonts w:asciiTheme="majorHAnsi" w:hAnsiTheme="majorHAnsi" w:cstheme="majorHAnsi"/>
                <w:spacing w:val="-5"/>
                <w:sz w:val="20"/>
                <w:szCs w:val="20"/>
              </w:rPr>
              <w:t>ettes</w:t>
            </w:r>
            <w:r w:rsidRPr="002E75D4">
              <w:rPr>
                <w:rFonts w:asciiTheme="majorHAnsi" w:hAnsiTheme="majorHAnsi" w:cstheme="majorHAnsi"/>
                <w:spacing w:val="30"/>
                <w:sz w:val="20"/>
                <w:szCs w:val="20"/>
              </w:rPr>
              <w:t xml:space="preserve"> </w:t>
            </w:r>
            <w:r w:rsidRPr="002E75D4">
              <w:rPr>
                <w:rFonts w:asciiTheme="majorHAnsi" w:hAnsiTheme="majorHAnsi" w:cstheme="majorHAnsi"/>
                <w:sz w:val="20"/>
                <w:szCs w:val="20"/>
              </w:rPr>
              <w:t>à</w:t>
            </w:r>
            <w:r w:rsidRPr="002E75D4">
              <w:rPr>
                <w:rFonts w:asciiTheme="majorHAnsi" w:hAnsiTheme="majorHAnsi" w:cstheme="majorHAnsi"/>
                <w:spacing w:val="9"/>
                <w:sz w:val="20"/>
                <w:szCs w:val="20"/>
              </w:rPr>
              <w:t xml:space="preserve"> </w:t>
            </w:r>
            <w:r w:rsidRPr="002E75D4">
              <w:rPr>
                <w:rFonts w:asciiTheme="majorHAnsi" w:hAnsiTheme="majorHAnsi" w:cstheme="majorHAnsi"/>
                <w:spacing w:val="-5"/>
                <w:sz w:val="20"/>
                <w:szCs w:val="20"/>
              </w:rPr>
              <w:t>tr</w:t>
            </w:r>
            <w:r w:rsidRPr="002E75D4">
              <w:rPr>
                <w:rFonts w:asciiTheme="majorHAnsi" w:hAnsiTheme="majorHAnsi" w:cstheme="majorHAnsi"/>
                <w:spacing w:val="-4"/>
                <w:sz w:val="20"/>
                <w:szCs w:val="20"/>
              </w:rPr>
              <w:t>a</w:t>
            </w:r>
            <w:r w:rsidRPr="002E75D4">
              <w:rPr>
                <w:rFonts w:asciiTheme="majorHAnsi" w:hAnsiTheme="majorHAnsi" w:cstheme="majorHAnsi"/>
                <w:spacing w:val="-5"/>
                <w:sz w:val="20"/>
                <w:szCs w:val="20"/>
              </w:rPr>
              <w:t>ver</w:t>
            </w:r>
            <w:r w:rsidRPr="002E75D4">
              <w:rPr>
                <w:rFonts w:asciiTheme="majorHAnsi" w:hAnsiTheme="majorHAnsi" w:cstheme="majorHAnsi"/>
                <w:spacing w:val="-4"/>
                <w:sz w:val="20"/>
                <w:szCs w:val="20"/>
              </w:rPr>
              <w:t>s</w:t>
            </w:r>
            <w:r w:rsidRPr="002E75D4">
              <w:rPr>
                <w:rFonts w:asciiTheme="majorHAnsi" w:hAnsiTheme="majorHAnsi" w:cstheme="majorHAnsi"/>
                <w:spacing w:val="15"/>
                <w:sz w:val="20"/>
                <w:szCs w:val="20"/>
              </w:rPr>
              <w:t xml:space="preserve"> </w:t>
            </w:r>
            <w:r w:rsidRPr="002E75D4">
              <w:rPr>
                <w:rFonts w:asciiTheme="majorHAnsi" w:hAnsiTheme="majorHAnsi" w:cstheme="majorHAnsi"/>
                <w:sz w:val="20"/>
                <w:szCs w:val="20"/>
              </w:rPr>
              <w:t>les</w:t>
            </w:r>
            <w:r w:rsidRPr="002E75D4">
              <w:rPr>
                <w:rFonts w:asciiTheme="majorHAnsi" w:hAnsiTheme="majorHAnsi" w:cstheme="majorHAnsi"/>
                <w:spacing w:val="24"/>
                <w:sz w:val="20"/>
                <w:szCs w:val="20"/>
              </w:rPr>
              <w:t xml:space="preserve"> </w:t>
            </w:r>
            <w:r w:rsidRPr="002E75D4">
              <w:rPr>
                <w:rFonts w:asciiTheme="majorHAnsi" w:hAnsiTheme="majorHAnsi" w:cstheme="majorHAnsi"/>
                <w:spacing w:val="-3"/>
                <w:sz w:val="20"/>
                <w:szCs w:val="20"/>
              </w:rPr>
              <w:t>sous-produits</w:t>
            </w:r>
            <w:r w:rsidRPr="002E75D4">
              <w:rPr>
                <w:rFonts w:asciiTheme="majorHAnsi" w:hAnsiTheme="majorHAnsi" w:cstheme="majorHAnsi"/>
                <w:spacing w:val="14"/>
                <w:sz w:val="20"/>
                <w:szCs w:val="20"/>
              </w:rPr>
              <w:t xml:space="preserve"> </w:t>
            </w:r>
            <w:r w:rsidRPr="002E75D4">
              <w:rPr>
                <w:rFonts w:asciiTheme="majorHAnsi" w:hAnsiTheme="majorHAnsi" w:cstheme="majorHAnsi"/>
                <w:sz w:val="20"/>
                <w:szCs w:val="20"/>
              </w:rPr>
              <w:t>agricoles.</w:t>
            </w:r>
          </w:p>
        </w:tc>
        <w:tc>
          <w:tcPr>
            <w:tcW w:w="630" w:type="pct"/>
            <w:shd w:val="clear" w:color="auto" w:fill="FFF2CC" w:themeFill="accent4" w:themeFillTint="33"/>
          </w:tcPr>
          <w:p w14:paraId="65981953" w14:textId="77777777" w:rsidR="00C03EC4" w:rsidRPr="002E75D4" w:rsidRDefault="00C03EC4" w:rsidP="000D6136">
            <w:pPr>
              <w:spacing w:after="60"/>
              <w:rPr>
                <w:rFonts w:asciiTheme="majorHAnsi" w:hAnsiTheme="majorHAnsi" w:cstheme="majorHAnsi"/>
                <w:sz w:val="20"/>
                <w:szCs w:val="20"/>
              </w:rPr>
            </w:pPr>
            <w:r w:rsidRPr="002E75D4">
              <w:rPr>
                <w:rFonts w:asciiTheme="majorHAnsi" w:hAnsiTheme="majorHAnsi" w:cstheme="majorHAnsi"/>
                <w:sz w:val="20"/>
                <w:szCs w:val="20"/>
              </w:rPr>
              <w:t>Promoteurs privés</w:t>
            </w:r>
          </w:p>
        </w:tc>
      </w:tr>
      <w:tr w:rsidR="00C03EC4" w:rsidRPr="002E75D4" w14:paraId="50794BD6" w14:textId="77777777" w:rsidTr="000D6136">
        <w:trPr>
          <w:cnfStyle w:val="000000100000" w:firstRow="0" w:lastRow="0" w:firstColumn="0" w:lastColumn="0" w:oddVBand="0" w:evenVBand="0" w:oddHBand="1" w:evenHBand="0" w:firstRowFirstColumn="0" w:firstRowLastColumn="0" w:lastRowFirstColumn="0" w:lastRowLastColumn="0"/>
          <w:trHeight w:hRule="exact" w:val="906"/>
        </w:trPr>
        <w:tc>
          <w:tcPr>
            <w:tcW w:w="2068" w:type="pct"/>
            <w:shd w:val="clear" w:color="auto" w:fill="FFE1E1"/>
          </w:tcPr>
          <w:p w14:paraId="6C85EC02"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2"/>
                <w:sz w:val="20"/>
                <w:szCs w:val="20"/>
              </w:rPr>
              <w:t>Projet Reboisement</w:t>
            </w:r>
            <w:r w:rsidRPr="002E75D4">
              <w:rPr>
                <w:rFonts w:asciiTheme="majorHAnsi" w:hAnsiTheme="majorHAnsi" w:cstheme="majorHAnsi"/>
                <w:spacing w:val="11"/>
                <w:sz w:val="20"/>
                <w:szCs w:val="20"/>
              </w:rPr>
              <w:t xml:space="preserve"> </w:t>
            </w:r>
            <w:r w:rsidRPr="002E75D4">
              <w:rPr>
                <w:rFonts w:asciiTheme="majorHAnsi" w:hAnsiTheme="majorHAnsi" w:cstheme="majorHAnsi"/>
                <w:sz w:val="20"/>
                <w:szCs w:val="20"/>
              </w:rPr>
              <w:t>et</w:t>
            </w:r>
            <w:r w:rsidRPr="002E75D4">
              <w:rPr>
                <w:rFonts w:asciiTheme="majorHAnsi" w:hAnsiTheme="majorHAnsi" w:cstheme="majorHAnsi"/>
                <w:spacing w:val="-18"/>
                <w:sz w:val="20"/>
                <w:szCs w:val="20"/>
              </w:rPr>
              <w:t xml:space="preserve"> </w:t>
            </w:r>
            <w:r w:rsidRPr="002E75D4">
              <w:rPr>
                <w:rFonts w:asciiTheme="majorHAnsi" w:hAnsiTheme="majorHAnsi" w:cstheme="majorHAnsi"/>
                <w:spacing w:val="-5"/>
                <w:sz w:val="20"/>
                <w:szCs w:val="20"/>
              </w:rPr>
              <w:t>p</w:t>
            </w:r>
            <w:r w:rsidRPr="002E75D4">
              <w:rPr>
                <w:rFonts w:asciiTheme="majorHAnsi" w:hAnsiTheme="majorHAnsi" w:cstheme="majorHAnsi"/>
                <w:spacing w:val="-6"/>
                <w:sz w:val="20"/>
                <w:szCs w:val="20"/>
              </w:rPr>
              <w:t>r</w:t>
            </w:r>
            <w:r w:rsidRPr="002E75D4">
              <w:rPr>
                <w:rFonts w:asciiTheme="majorHAnsi" w:hAnsiTheme="majorHAnsi" w:cstheme="majorHAnsi"/>
                <w:spacing w:val="-5"/>
                <w:sz w:val="20"/>
                <w:szCs w:val="20"/>
              </w:rPr>
              <w:t>odu</w:t>
            </w:r>
            <w:r w:rsidRPr="002E75D4">
              <w:rPr>
                <w:rFonts w:asciiTheme="majorHAnsi" w:hAnsiTheme="majorHAnsi" w:cstheme="majorHAnsi"/>
                <w:spacing w:val="-6"/>
                <w:sz w:val="20"/>
                <w:szCs w:val="20"/>
              </w:rPr>
              <w:t>ct</w:t>
            </w:r>
            <w:r w:rsidRPr="002E75D4">
              <w:rPr>
                <w:rFonts w:asciiTheme="majorHAnsi" w:hAnsiTheme="majorHAnsi" w:cstheme="majorHAnsi"/>
                <w:spacing w:val="-5"/>
                <w:sz w:val="20"/>
                <w:szCs w:val="20"/>
              </w:rPr>
              <w:t>ion</w:t>
            </w:r>
            <w:r w:rsidRPr="002E75D4">
              <w:rPr>
                <w:rFonts w:asciiTheme="majorHAnsi" w:hAnsiTheme="majorHAnsi" w:cstheme="majorHAnsi"/>
                <w:spacing w:val="39"/>
                <w:sz w:val="20"/>
                <w:szCs w:val="20"/>
              </w:rPr>
              <w:t xml:space="preserve"> </w:t>
            </w:r>
            <w:r w:rsidRPr="002E75D4">
              <w:rPr>
                <w:rFonts w:asciiTheme="majorHAnsi" w:hAnsiTheme="majorHAnsi" w:cstheme="majorHAnsi"/>
                <w:spacing w:val="-4"/>
                <w:sz w:val="20"/>
                <w:szCs w:val="20"/>
              </w:rPr>
              <w:t>d</w:t>
            </w:r>
            <w:r w:rsidRPr="002E75D4">
              <w:rPr>
                <w:rFonts w:asciiTheme="majorHAnsi" w:hAnsiTheme="majorHAnsi" w:cstheme="majorHAnsi"/>
                <w:spacing w:val="-5"/>
                <w:sz w:val="20"/>
                <w:szCs w:val="20"/>
              </w:rPr>
              <w:t>e</w:t>
            </w:r>
          </w:p>
          <w:p w14:paraId="68BC00AF"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4"/>
                <w:sz w:val="20"/>
                <w:szCs w:val="20"/>
              </w:rPr>
              <w:t>Biocarburant</w:t>
            </w:r>
            <w:r w:rsidRPr="002E75D4">
              <w:rPr>
                <w:rFonts w:asciiTheme="majorHAnsi" w:hAnsiTheme="majorHAnsi" w:cstheme="majorHAnsi"/>
                <w:spacing w:val="29"/>
                <w:sz w:val="20"/>
                <w:szCs w:val="20"/>
              </w:rPr>
              <w:t xml:space="preserve"> </w:t>
            </w:r>
            <w:r w:rsidRPr="002E75D4">
              <w:rPr>
                <w:rFonts w:asciiTheme="majorHAnsi" w:hAnsiTheme="majorHAnsi" w:cstheme="majorHAnsi"/>
                <w:spacing w:val="-3"/>
                <w:sz w:val="20"/>
                <w:szCs w:val="20"/>
              </w:rPr>
              <w:t>(MDP)</w:t>
            </w:r>
          </w:p>
        </w:tc>
        <w:tc>
          <w:tcPr>
            <w:tcW w:w="2301" w:type="pct"/>
          </w:tcPr>
          <w:p w14:paraId="0F733270" w14:textId="77777777" w:rsidR="00C03EC4" w:rsidRPr="002E75D4" w:rsidRDefault="00C03EC4" w:rsidP="000D6136">
            <w:pPr>
              <w:ind w:left="159"/>
              <w:jc w:val="left"/>
              <w:rPr>
                <w:rFonts w:asciiTheme="majorHAnsi" w:eastAsia="Calibri" w:hAnsiTheme="majorHAnsi" w:cstheme="majorHAnsi"/>
                <w:sz w:val="20"/>
                <w:szCs w:val="20"/>
              </w:rPr>
            </w:pPr>
            <w:r w:rsidRPr="002E75D4">
              <w:rPr>
                <w:rFonts w:asciiTheme="majorHAnsi" w:eastAsia="Calibri" w:hAnsiTheme="majorHAnsi" w:cstheme="majorHAnsi"/>
                <w:spacing w:val="-2"/>
                <w:sz w:val="20"/>
                <w:szCs w:val="20"/>
              </w:rPr>
              <w:t>Plantation</w:t>
            </w:r>
            <w:r w:rsidRPr="002E75D4">
              <w:rPr>
                <w:rFonts w:asciiTheme="majorHAnsi" w:eastAsia="Calibri" w:hAnsiTheme="majorHAnsi" w:cstheme="majorHAnsi"/>
                <w:spacing w:val="11"/>
                <w:sz w:val="20"/>
                <w:szCs w:val="20"/>
              </w:rPr>
              <w:t xml:space="preserve"> </w:t>
            </w:r>
            <w:r w:rsidRPr="002E75D4">
              <w:rPr>
                <w:rFonts w:asciiTheme="majorHAnsi" w:eastAsia="Calibri" w:hAnsiTheme="majorHAnsi" w:cstheme="majorHAnsi"/>
                <w:spacing w:val="-3"/>
                <w:sz w:val="20"/>
                <w:szCs w:val="20"/>
              </w:rPr>
              <w:t>de</w:t>
            </w:r>
            <w:r w:rsidRPr="002E75D4">
              <w:rPr>
                <w:rFonts w:asciiTheme="majorHAnsi" w:eastAsia="Calibri" w:hAnsiTheme="majorHAnsi" w:cstheme="majorHAnsi"/>
                <w:spacing w:val="5"/>
                <w:sz w:val="20"/>
                <w:szCs w:val="20"/>
              </w:rPr>
              <w:t xml:space="preserve"> Jatropha curcas (</w:t>
            </w:r>
            <w:r w:rsidRPr="002E75D4">
              <w:rPr>
                <w:rFonts w:asciiTheme="majorHAnsi" w:eastAsia="Calibri" w:hAnsiTheme="majorHAnsi" w:cstheme="majorHAnsi"/>
                <w:spacing w:val="-4"/>
                <w:sz w:val="20"/>
                <w:szCs w:val="20"/>
              </w:rPr>
              <w:t>Pourghère)</w:t>
            </w:r>
            <w:r w:rsidRPr="002E75D4">
              <w:rPr>
                <w:rFonts w:asciiTheme="majorHAnsi" w:eastAsia="Calibri" w:hAnsiTheme="majorHAnsi" w:cstheme="majorHAnsi"/>
                <w:spacing w:val="18"/>
                <w:sz w:val="20"/>
                <w:szCs w:val="20"/>
              </w:rPr>
              <w:t xml:space="preserve"> </w:t>
            </w:r>
            <w:r w:rsidRPr="002E75D4">
              <w:rPr>
                <w:rFonts w:asciiTheme="majorHAnsi" w:eastAsia="Calibri" w:hAnsiTheme="majorHAnsi" w:cstheme="majorHAnsi"/>
                <w:spacing w:val="-5"/>
                <w:sz w:val="20"/>
                <w:szCs w:val="20"/>
              </w:rPr>
              <w:t>pour</w:t>
            </w:r>
            <w:r w:rsidRPr="002E75D4">
              <w:rPr>
                <w:rFonts w:asciiTheme="majorHAnsi" w:eastAsia="Calibri" w:hAnsiTheme="majorHAnsi" w:cstheme="majorHAnsi"/>
                <w:spacing w:val="24"/>
                <w:sz w:val="20"/>
                <w:szCs w:val="20"/>
              </w:rPr>
              <w:t xml:space="preserve"> </w:t>
            </w:r>
            <w:r w:rsidRPr="002E75D4">
              <w:rPr>
                <w:rFonts w:asciiTheme="majorHAnsi" w:eastAsia="Calibri" w:hAnsiTheme="majorHAnsi" w:cstheme="majorHAnsi"/>
                <w:sz w:val="20"/>
                <w:szCs w:val="20"/>
              </w:rPr>
              <w:t>l’électrification</w:t>
            </w:r>
            <w:r w:rsidRPr="002E75D4">
              <w:rPr>
                <w:rFonts w:asciiTheme="majorHAnsi" w:eastAsia="Calibri" w:hAnsiTheme="majorHAnsi" w:cstheme="majorHAnsi"/>
                <w:spacing w:val="-17"/>
                <w:sz w:val="20"/>
                <w:szCs w:val="20"/>
              </w:rPr>
              <w:t xml:space="preserve"> </w:t>
            </w:r>
            <w:r w:rsidRPr="002E75D4">
              <w:rPr>
                <w:rFonts w:asciiTheme="majorHAnsi" w:eastAsia="Calibri" w:hAnsiTheme="majorHAnsi" w:cstheme="majorHAnsi"/>
                <w:spacing w:val="-3"/>
                <w:sz w:val="20"/>
                <w:szCs w:val="20"/>
              </w:rPr>
              <w:t>rurale</w:t>
            </w:r>
          </w:p>
        </w:tc>
        <w:tc>
          <w:tcPr>
            <w:tcW w:w="630" w:type="pct"/>
            <w:shd w:val="clear" w:color="auto" w:fill="FFE599" w:themeFill="accent4" w:themeFillTint="66"/>
          </w:tcPr>
          <w:p w14:paraId="5162A5A3" w14:textId="77777777" w:rsidR="00C03EC4" w:rsidRPr="002E75D4" w:rsidRDefault="00C03EC4" w:rsidP="000D6136">
            <w:pPr>
              <w:spacing w:after="60"/>
              <w:rPr>
                <w:rFonts w:asciiTheme="majorHAnsi" w:hAnsiTheme="majorHAnsi" w:cstheme="majorHAnsi"/>
                <w:sz w:val="20"/>
                <w:szCs w:val="20"/>
              </w:rPr>
            </w:pPr>
            <w:r w:rsidRPr="002E75D4">
              <w:rPr>
                <w:rFonts w:asciiTheme="majorHAnsi" w:hAnsiTheme="majorHAnsi" w:cstheme="majorHAnsi"/>
                <w:sz w:val="20"/>
                <w:szCs w:val="20"/>
              </w:rPr>
              <w:t>Promoteurs privés</w:t>
            </w:r>
          </w:p>
        </w:tc>
      </w:tr>
      <w:tr w:rsidR="00C03EC4" w:rsidRPr="002E75D4" w14:paraId="4776CD8B" w14:textId="77777777" w:rsidTr="000D6136">
        <w:trPr>
          <w:trHeight w:hRule="exact" w:val="706"/>
        </w:trPr>
        <w:tc>
          <w:tcPr>
            <w:tcW w:w="2068" w:type="pct"/>
            <w:shd w:val="clear" w:color="auto" w:fill="FFF3F3"/>
          </w:tcPr>
          <w:p w14:paraId="585F209D" w14:textId="77777777" w:rsidR="00C03EC4" w:rsidRPr="002E75D4" w:rsidRDefault="00C03EC4" w:rsidP="000D6136">
            <w:pPr>
              <w:spacing w:after="60"/>
              <w:ind w:left="175"/>
              <w:jc w:val="left"/>
              <w:rPr>
                <w:rFonts w:asciiTheme="majorHAnsi" w:eastAsia="Calibri" w:hAnsiTheme="majorHAnsi" w:cstheme="majorHAnsi"/>
                <w:sz w:val="20"/>
                <w:szCs w:val="20"/>
              </w:rPr>
            </w:pPr>
            <w:r w:rsidRPr="002E75D4">
              <w:rPr>
                <w:rFonts w:asciiTheme="majorHAnsi" w:hAnsiTheme="majorHAnsi" w:cstheme="majorHAnsi"/>
                <w:spacing w:val="-1"/>
                <w:sz w:val="20"/>
                <w:szCs w:val="20"/>
              </w:rPr>
              <w:t>Projet Boisement</w:t>
            </w:r>
            <w:r w:rsidRPr="002E75D4">
              <w:rPr>
                <w:rFonts w:asciiTheme="majorHAnsi" w:hAnsiTheme="majorHAnsi" w:cstheme="majorHAnsi"/>
                <w:spacing w:val="-9"/>
                <w:sz w:val="20"/>
                <w:szCs w:val="20"/>
              </w:rPr>
              <w:t xml:space="preserve"> </w:t>
            </w:r>
            <w:r w:rsidRPr="002E75D4">
              <w:rPr>
                <w:rFonts w:asciiTheme="majorHAnsi" w:hAnsiTheme="majorHAnsi" w:cstheme="majorHAnsi"/>
                <w:spacing w:val="-3"/>
                <w:sz w:val="20"/>
                <w:szCs w:val="20"/>
              </w:rPr>
              <w:t>(MDP)</w:t>
            </w:r>
          </w:p>
        </w:tc>
        <w:tc>
          <w:tcPr>
            <w:tcW w:w="2301" w:type="pct"/>
          </w:tcPr>
          <w:p w14:paraId="54731900" w14:textId="77777777" w:rsidR="00C03EC4" w:rsidRPr="002E75D4" w:rsidRDefault="00C03EC4" w:rsidP="000D6136">
            <w:pPr>
              <w:spacing w:after="60"/>
              <w:ind w:left="156"/>
              <w:jc w:val="left"/>
              <w:rPr>
                <w:rFonts w:asciiTheme="majorHAnsi" w:eastAsia="Calibri" w:hAnsiTheme="majorHAnsi" w:cstheme="majorHAnsi"/>
                <w:sz w:val="20"/>
                <w:szCs w:val="20"/>
              </w:rPr>
            </w:pPr>
            <w:r w:rsidRPr="002E75D4">
              <w:rPr>
                <w:rFonts w:asciiTheme="majorHAnsi" w:eastAsia="Calibri" w:hAnsiTheme="majorHAnsi" w:cstheme="majorHAnsi"/>
                <w:spacing w:val="-2"/>
                <w:sz w:val="20"/>
                <w:szCs w:val="20"/>
              </w:rPr>
              <w:t>Plantation</w:t>
            </w:r>
            <w:r w:rsidRPr="002E75D4">
              <w:rPr>
                <w:rFonts w:asciiTheme="majorHAnsi" w:eastAsia="Calibri" w:hAnsiTheme="majorHAnsi" w:cstheme="majorHAnsi"/>
                <w:spacing w:val="13"/>
                <w:sz w:val="20"/>
                <w:szCs w:val="20"/>
              </w:rPr>
              <w:t xml:space="preserve"> </w:t>
            </w:r>
            <w:r w:rsidRPr="002E75D4">
              <w:rPr>
                <w:rFonts w:asciiTheme="majorHAnsi" w:eastAsia="Calibri" w:hAnsiTheme="majorHAnsi" w:cstheme="majorHAnsi"/>
                <w:sz w:val="20"/>
                <w:szCs w:val="20"/>
              </w:rPr>
              <w:t>d’Acacia</w:t>
            </w:r>
            <w:r w:rsidRPr="002E75D4">
              <w:rPr>
                <w:rFonts w:asciiTheme="majorHAnsi" w:eastAsia="Calibri" w:hAnsiTheme="majorHAnsi" w:cstheme="majorHAnsi"/>
                <w:spacing w:val="-6"/>
                <w:sz w:val="20"/>
                <w:szCs w:val="20"/>
              </w:rPr>
              <w:t xml:space="preserve"> </w:t>
            </w:r>
            <w:r w:rsidRPr="002E75D4">
              <w:rPr>
                <w:rFonts w:asciiTheme="majorHAnsi" w:eastAsia="Calibri" w:hAnsiTheme="majorHAnsi" w:cstheme="majorHAnsi"/>
                <w:spacing w:val="-1"/>
                <w:sz w:val="20"/>
                <w:szCs w:val="20"/>
              </w:rPr>
              <w:t>senegal</w:t>
            </w:r>
          </w:p>
        </w:tc>
        <w:tc>
          <w:tcPr>
            <w:tcW w:w="630" w:type="pct"/>
            <w:shd w:val="clear" w:color="auto" w:fill="FFF2CC" w:themeFill="accent4" w:themeFillTint="33"/>
          </w:tcPr>
          <w:p w14:paraId="5E92F967" w14:textId="77777777" w:rsidR="00C03EC4" w:rsidRPr="002E75D4" w:rsidRDefault="00C03EC4" w:rsidP="000D6136">
            <w:pPr>
              <w:rPr>
                <w:rFonts w:asciiTheme="majorHAnsi" w:hAnsiTheme="majorHAnsi" w:cstheme="majorHAnsi"/>
                <w:sz w:val="20"/>
                <w:szCs w:val="20"/>
              </w:rPr>
            </w:pPr>
            <w:r w:rsidRPr="002E75D4">
              <w:rPr>
                <w:rFonts w:asciiTheme="majorHAnsi" w:hAnsiTheme="majorHAnsi" w:cstheme="majorHAnsi"/>
                <w:sz w:val="20"/>
                <w:szCs w:val="20"/>
              </w:rPr>
              <w:t>Promoteurs  privés</w:t>
            </w:r>
          </w:p>
        </w:tc>
      </w:tr>
      <w:tr w:rsidR="00C03EC4" w:rsidRPr="002E75D4" w14:paraId="203DCFDC" w14:textId="77777777" w:rsidTr="000D6136">
        <w:trPr>
          <w:cnfStyle w:val="000000100000" w:firstRow="0" w:lastRow="0" w:firstColumn="0" w:lastColumn="0" w:oddVBand="0" w:evenVBand="0" w:oddHBand="1" w:evenHBand="0" w:firstRowFirstColumn="0" w:firstRowLastColumn="0" w:lastRowFirstColumn="0" w:lastRowLastColumn="0"/>
          <w:trHeight w:hRule="exact" w:val="716"/>
        </w:trPr>
        <w:tc>
          <w:tcPr>
            <w:tcW w:w="2068" w:type="pct"/>
            <w:shd w:val="clear" w:color="auto" w:fill="FFE1E1"/>
          </w:tcPr>
          <w:p w14:paraId="33B82144" w14:textId="77777777" w:rsidR="00C03EC4" w:rsidRPr="002E75D4" w:rsidRDefault="00C03EC4" w:rsidP="000D6136">
            <w:pPr>
              <w:spacing w:after="60"/>
              <w:ind w:left="175"/>
              <w:jc w:val="left"/>
              <w:rPr>
                <w:rFonts w:asciiTheme="majorHAnsi" w:hAnsiTheme="majorHAnsi" w:cstheme="majorHAnsi"/>
                <w:spacing w:val="-1"/>
                <w:sz w:val="20"/>
                <w:szCs w:val="20"/>
              </w:rPr>
            </w:pPr>
            <w:r w:rsidRPr="002E75D4">
              <w:rPr>
                <w:rFonts w:asciiTheme="majorHAnsi" w:hAnsiTheme="majorHAnsi" w:cstheme="majorHAnsi"/>
                <w:spacing w:val="-1"/>
                <w:sz w:val="20"/>
                <w:szCs w:val="20"/>
              </w:rPr>
              <w:t>Projet Briquettes Combustibles</w:t>
            </w:r>
          </w:p>
        </w:tc>
        <w:tc>
          <w:tcPr>
            <w:tcW w:w="2301" w:type="pct"/>
          </w:tcPr>
          <w:p w14:paraId="39E10A64" w14:textId="77777777" w:rsidR="00C03EC4" w:rsidRPr="002E75D4" w:rsidRDefault="00C03EC4" w:rsidP="000D6136">
            <w:pPr>
              <w:spacing w:after="60"/>
              <w:ind w:left="156"/>
              <w:jc w:val="left"/>
              <w:rPr>
                <w:rFonts w:asciiTheme="majorHAnsi" w:eastAsia="Calibri" w:hAnsiTheme="majorHAnsi" w:cstheme="majorHAnsi"/>
                <w:spacing w:val="-2"/>
                <w:sz w:val="20"/>
                <w:szCs w:val="20"/>
              </w:rPr>
            </w:pPr>
            <w:r w:rsidRPr="002E75D4">
              <w:rPr>
                <w:rFonts w:asciiTheme="majorHAnsi" w:eastAsia="Calibri" w:hAnsiTheme="majorHAnsi" w:cstheme="majorHAnsi"/>
                <w:spacing w:val="-2"/>
                <w:sz w:val="20"/>
                <w:szCs w:val="20"/>
              </w:rPr>
              <w:t>Installations des unites de production de charbons bio</w:t>
            </w:r>
          </w:p>
        </w:tc>
        <w:tc>
          <w:tcPr>
            <w:tcW w:w="630" w:type="pct"/>
            <w:shd w:val="clear" w:color="auto" w:fill="FFE599" w:themeFill="accent4" w:themeFillTint="66"/>
          </w:tcPr>
          <w:p w14:paraId="09586C42" w14:textId="77777777" w:rsidR="00C03EC4" w:rsidRPr="002E75D4" w:rsidRDefault="00C03EC4" w:rsidP="000D6136">
            <w:pPr>
              <w:rPr>
                <w:rFonts w:asciiTheme="majorHAnsi" w:hAnsiTheme="majorHAnsi" w:cstheme="majorHAnsi"/>
                <w:sz w:val="20"/>
                <w:szCs w:val="20"/>
              </w:rPr>
            </w:pPr>
            <w:r w:rsidRPr="002E75D4">
              <w:rPr>
                <w:rFonts w:asciiTheme="majorHAnsi" w:hAnsiTheme="majorHAnsi" w:cstheme="majorHAnsi"/>
                <w:sz w:val="20"/>
                <w:szCs w:val="20"/>
              </w:rPr>
              <w:t>Promoteurs  privés</w:t>
            </w:r>
          </w:p>
        </w:tc>
      </w:tr>
    </w:tbl>
    <w:p w14:paraId="7E5BE104" w14:textId="77777777" w:rsidR="00C03EC4" w:rsidRPr="002E75D4" w:rsidRDefault="00C03EC4" w:rsidP="00C03EC4">
      <w:pPr>
        <w:pStyle w:val="Lgende"/>
        <w:rPr>
          <w:rFonts w:asciiTheme="majorHAnsi" w:hAnsiTheme="majorHAnsi" w:cstheme="majorHAnsi"/>
          <w:sz w:val="24"/>
          <w:szCs w:val="24"/>
        </w:rPr>
      </w:pPr>
    </w:p>
    <w:p w14:paraId="25D45C34" w14:textId="77777777" w:rsidR="00C03EC4" w:rsidRPr="002E75D4" w:rsidRDefault="00C03EC4" w:rsidP="00C03EC4">
      <w:pPr>
        <w:pStyle w:val="Lgende"/>
        <w:rPr>
          <w:rFonts w:asciiTheme="majorHAnsi" w:hAnsiTheme="majorHAnsi" w:cstheme="majorHAnsi"/>
          <w:b w:val="0"/>
          <w:bCs w:val="0"/>
          <w:sz w:val="24"/>
          <w:szCs w:val="24"/>
        </w:rPr>
      </w:pPr>
      <w:r w:rsidRPr="00B13E5A">
        <w:rPr>
          <w:rFonts w:asciiTheme="majorHAnsi" w:hAnsiTheme="majorHAnsi" w:cstheme="majorHAnsi"/>
          <w:sz w:val="24"/>
          <w:szCs w:val="24"/>
          <w:u w:val="single"/>
        </w:rPr>
        <w:t>Tableau 13</w:t>
      </w:r>
      <w:r w:rsidRPr="002E75D4">
        <w:rPr>
          <w:rFonts w:asciiTheme="majorHAnsi" w:hAnsiTheme="majorHAnsi" w:cstheme="majorHAnsi"/>
          <w:sz w:val="24"/>
          <w:szCs w:val="24"/>
        </w:rPr>
        <w:t xml:space="preserve"> :</w:t>
      </w:r>
      <w:r w:rsidRPr="002E75D4">
        <w:rPr>
          <w:rFonts w:asciiTheme="majorHAnsi" w:hAnsiTheme="majorHAnsi" w:cstheme="majorHAnsi"/>
          <w:b w:val="0"/>
          <w:bCs w:val="0"/>
          <w:sz w:val="24"/>
          <w:szCs w:val="24"/>
        </w:rPr>
        <w:t xml:space="preserve"> Programmes et projets dans le cadre de la coopération avec les PTF</w:t>
      </w:r>
    </w:p>
    <w:p w14:paraId="5EE1F335" w14:textId="77777777" w:rsidR="00C03EC4" w:rsidRPr="002E75D4" w:rsidRDefault="00C03EC4" w:rsidP="00C03EC4">
      <w:pPr>
        <w:pStyle w:val="Lgende"/>
        <w:rPr>
          <w:rFonts w:asciiTheme="majorHAnsi" w:hAnsiTheme="majorHAnsi" w:cstheme="majorHAnsi"/>
          <w:b w:val="0"/>
          <w:bCs w:val="0"/>
          <w:sz w:val="24"/>
          <w:szCs w:val="24"/>
        </w:rPr>
      </w:pPr>
    </w:p>
    <w:p w14:paraId="1D3C1A90" w14:textId="77777777" w:rsidR="00C03EC4" w:rsidRPr="00F24A9E"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Les actions de ces différents programmes ou projets sont en lien direct avec l’atténuation des émissions de GES ou la séquestration du carbone au niveau du secteur de la foresterie.  Elles portent sur les prévisions d’amélioration de la couverture forestière, notamment à travers les programmes de reboisement, d’aménagement et de gestion des forêts, de régénération naturelle assistée, d’agroforesterie et d’agriculture durable (arboriculture de gomme arabique, d’anacarde, de mangues, etc.).</w:t>
      </w:r>
    </w:p>
    <w:p w14:paraId="25D3C5C7" w14:textId="77777777" w:rsidR="00C03EC4" w:rsidRPr="002E75D4" w:rsidRDefault="00C03EC4" w:rsidP="00C03EC4">
      <w:pPr>
        <w:pStyle w:val="Titre5"/>
        <w:spacing w:line="240" w:lineRule="auto"/>
        <w:jc w:val="both"/>
        <w:rPr>
          <w:rFonts w:cstheme="majorHAnsi"/>
          <w:b/>
          <w:bCs/>
          <w:color w:val="auto"/>
          <w:sz w:val="24"/>
          <w:szCs w:val="24"/>
        </w:rPr>
      </w:pPr>
      <w:r w:rsidRPr="002E75D4">
        <w:rPr>
          <w:rFonts w:cstheme="majorHAnsi"/>
          <w:b/>
          <w:bCs/>
          <w:color w:val="auto"/>
          <w:sz w:val="24"/>
          <w:szCs w:val="24"/>
        </w:rPr>
        <w:t>Le potentiel REDD+ comme programme à mettre en œuvre sur la période 2020 – 2030 au titre du scénario d’atténuation</w:t>
      </w:r>
    </w:p>
    <w:p w14:paraId="4857375D" w14:textId="77777777" w:rsidR="00C03EC4" w:rsidRPr="002E75D4" w:rsidRDefault="00C03EC4" w:rsidP="00C03EC4">
      <w:pPr>
        <w:spacing w:after="0" w:line="240" w:lineRule="auto"/>
        <w:jc w:val="both"/>
        <w:rPr>
          <w:rFonts w:asciiTheme="majorHAnsi" w:hAnsiTheme="majorHAnsi" w:cstheme="majorHAnsi"/>
          <w:sz w:val="24"/>
          <w:szCs w:val="24"/>
        </w:rPr>
      </w:pPr>
    </w:p>
    <w:p w14:paraId="54F3BCFB"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 xml:space="preserve">Le secteur de la foresterie, composante essentielle de séquestration de carbone, joue un rôle primordial dans la comptabilité des GES. Ce réservoir de carbone subit les actions directes des sous-secteurs de l’agriculture (les défrichements de terres agricoles) de l’élevage (émondage et feux de brousses) et de l’énergie (biomasse énergie). Ces actions sont à l’origine de la réduction des superficies des forêts et de la dégradation de la ressource forestière, des écosystèmes et de la biodiversité. </w:t>
      </w:r>
    </w:p>
    <w:p w14:paraId="25A5CCFD" w14:textId="77777777" w:rsidR="00C03EC4" w:rsidRPr="002E75D4" w:rsidRDefault="00C03EC4" w:rsidP="00C03EC4">
      <w:pPr>
        <w:jc w:val="both"/>
        <w:rPr>
          <w:rFonts w:asciiTheme="majorHAnsi" w:hAnsiTheme="majorHAnsi" w:cstheme="majorHAnsi"/>
          <w:b/>
          <w:bCs/>
          <w:sz w:val="24"/>
          <w:szCs w:val="24"/>
        </w:rPr>
      </w:pPr>
      <w:r w:rsidRPr="002E75D4">
        <w:rPr>
          <w:rFonts w:asciiTheme="majorHAnsi" w:hAnsiTheme="majorHAnsi" w:cstheme="majorHAnsi"/>
          <w:b/>
          <w:bCs/>
          <w:sz w:val="24"/>
          <w:szCs w:val="24"/>
        </w:rPr>
        <w:t>Le potentiel REDD+ est exploitable par la mise en œuvre de la CDN 2020.</w:t>
      </w:r>
    </w:p>
    <w:p w14:paraId="64B5DDA6" w14:textId="77777777" w:rsidR="00C03EC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 xml:space="preserve">En effet, au niveau du secteur de la foresterie et des changements d’affectation des terres, les activités concernent les coupes de bois, les défrichements, les feux de brousses et les reboisements et autres actions d’agroforesterie. </w:t>
      </w:r>
    </w:p>
    <w:p w14:paraId="30051E0B"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 xml:space="preserve">Par ailleurs, l’analyse des phénomènes de dégradation des ressources forestières sur la base des données des inventaires forestiers du PIRL (1990) et du programme AGCC (2007et 2014) aboutit à environ </w:t>
      </w:r>
      <w:r w:rsidRPr="002E75D4">
        <w:rPr>
          <w:rFonts w:asciiTheme="majorHAnsi" w:hAnsiTheme="majorHAnsi" w:cstheme="majorHAnsi"/>
          <w:bCs/>
          <w:sz w:val="24"/>
          <w:szCs w:val="24"/>
        </w:rPr>
        <w:t>250 000 ha</w:t>
      </w:r>
      <w:r w:rsidRPr="002E75D4">
        <w:rPr>
          <w:rFonts w:asciiTheme="majorHAnsi" w:hAnsiTheme="majorHAnsi" w:cstheme="majorHAnsi"/>
          <w:sz w:val="24"/>
          <w:szCs w:val="24"/>
        </w:rPr>
        <w:t xml:space="preserve"> </w:t>
      </w:r>
      <w:r w:rsidRPr="002E75D4">
        <w:rPr>
          <w:rFonts w:asciiTheme="majorHAnsi" w:eastAsia="Calibri" w:hAnsiTheme="majorHAnsi" w:cstheme="majorHAnsi"/>
          <w:sz w:val="24"/>
          <w:szCs w:val="24"/>
        </w:rPr>
        <w:t xml:space="preserve">(soit </w:t>
      </w:r>
      <w:r w:rsidRPr="002E75D4">
        <w:rPr>
          <w:rFonts w:asciiTheme="majorHAnsi" w:eastAsia="Calibri" w:hAnsiTheme="majorHAnsi" w:cstheme="majorHAnsi"/>
          <w:bCs/>
          <w:sz w:val="24"/>
          <w:szCs w:val="24"/>
        </w:rPr>
        <w:t>1.6%</w:t>
      </w:r>
      <w:r w:rsidRPr="002E75D4">
        <w:rPr>
          <w:rFonts w:asciiTheme="majorHAnsi" w:eastAsia="Calibri" w:hAnsiTheme="majorHAnsi" w:cstheme="majorHAnsi"/>
          <w:sz w:val="24"/>
          <w:szCs w:val="24"/>
        </w:rPr>
        <w:t xml:space="preserve"> environ de superficie des formations végétales) </w:t>
      </w:r>
      <w:r w:rsidRPr="002E75D4">
        <w:rPr>
          <w:rFonts w:asciiTheme="majorHAnsi" w:hAnsiTheme="majorHAnsi" w:cstheme="majorHAnsi"/>
          <w:sz w:val="24"/>
          <w:szCs w:val="24"/>
        </w:rPr>
        <w:t>en moyenne par an de superficies concernées par les AFAT. Cette situation entraine des réductions de la capacité de séquestration des formations forestières en dépit des efforts consentis par les différents programmes et projets dans le cadre de l’amélioration du taux de couverture végétale.</w:t>
      </w:r>
    </w:p>
    <w:p w14:paraId="4F5E65AF"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 xml:space="preserve">Ainsi, l’ensemble des prévisions de réalisations dans le cadre de la Réduction des Emissions dues à la Déforestation et Dégradation des forêts et de la biodiversité (REDD+) doivent concourir à atteindre environ </w:t>
      </w:r>
      <w:r w:rsidRPr="002E75D4">
        <w:rPr>
          <w:rFonts w:asciiTheme="majorHAnsi" w:hAnsiTheme="majorHAnsi" w:cstheme="majorHAnsi"/>
          <w:bCs/>
          <w:sz w:val="24"/>
          <w:szCs w:val="24"/>
        </w:rPr>
        <w:t>1.540.000 ha</w:t>
      </w:r>
      <w:r w:rsidRPr="002E75D4">
        <w:rPr>
          <w:rFonts w:asciiTheme="majorHAnsi" w:hAnsiTheme="majorHAnsi" w:cstheme="majorHAnsi"/>
          <w:sz w:val="24"/>
          <w:szCs w:val="24"/>
        </w:rPr>
        <w:t xml:space="preserve"> à l’horizon 2030.  Cet objectif cible contribue à l’amélioration de la couverture végétale de </w:t>
      </w:r>
      <w:r w:rsidRPr="002E75D4">
        <w:rPr>
          <w:rFonts w:asciiTheme="majorHAnsi" w:hAnsiTheme="majorHAnsi" w:cstheme="majorHAnsi"/>
          <w:bCs/>
          <w:sz w:val="24"/>
          <w:szCs w:val="24"/>
        </w:rPr>
        <w:t>+2,81%</w:t>
      </w:r>
      <w:r w:rsidRPr="002E75D4">
        <w:rPr>
          <w:rFonts w:asciiTheme="majorHAnsi" w:hAnsiTheme="majorHAnsi" w:cstheme="majorHAnsi"/>
          <w:sz w:val="24"/>
          <w:szCs w:val="24"/>
        </w:rPr>
        <w:t xml:space="preserve"> (soit un gain total de séquestration équivalant de </w:t>
      </w:r>
      <w:r w:rsidRPr="002E75D4">
        <w:rPr>
          <w:rFonts w:asciiTheme="majorHAnsi" w:hAnsiTheme="majorHAnsi" w:cstheme="majorHAnsi"/>
          <w:bCs/>
          <w:sz w:val="24"/>
          <w:szCs w:val="24"/>
        </w:rPr>
        <w:t>358 001 KT de CO2</w:t>
      </w:r>
      <w:r w:rsidRPr="002E75D4">
        <w:rPr>
          <w:rFonts w:asciiTheme="majorHAnsi" w:hAnsiTheme="majorHAnsi" w:cstheme="majorHAnsi"/>
          <w:sz w:val="24"/>
          <w:szCs w:val="24"/>
        </w:rPr>
        <w:t>) des terres forestières ou agricoles au niveau national.</w:t>
      </w:r>
    </w:p>
    <w:p w14:paraId="736FD4AB"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rPr>
        <w:t xml:space="preserve">Dans le cadre de la CDN 2020, la réalisation des actions d’atténuation de GES au niveau du secteur AFAT (secteurs agriculture et forêts et changements d’affectation des terres) sera consacrée par trois (03) vastes programmes REDD+ avec chacun des composantes institutionnelles, renforcement du capital productif, et organisation des filières et </w:t>
      </w:r>
      <w:r w:rsidRPr="002E75D4">
        <w:rPr>
          <w:rFonts w:asciiTheme="majorHAnsi" w:hAnsiTheme="majorHAnsi" w:cstheme="majorHAnsi"/>
          <w:sz w:val="24"/>
          <w:szCs w:val="24"/>
        </w:rPr>
        <w:t xml:space="preserve">formation : </w:t>
      </w:r>
    </w:p>
    <w:p w14:paraId="243EAC1E" w14:textId="77777777" w:rsidR="00C03EC4" w:rsidRPr="002E75D4" w:rsidRDefault="00C03EC4" w:rsidP="00C03EC4">
      <w:pPr>
        <w:pStyle w:val="Paragraphedeliste"/>
        <w:numPr>
          <w:ilvl w:val="0"/>
          <w:numId w:val="41"/>
        </w:num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Programme 1 : Programme intégré avec les secteurs de l’industrie et des collectivités territoriales portant sur le Développement de la Production de gomme arabique et autres PFNL et résilience des écosystèmes agro-forestiers des zones arides et semis arides et les communautés locales. Le but de ce programme est la réalisation, à l’horizon 2030, de </w:t>
      </w:r>
      <w:r w:rsidRPr="002E75D4">
        <w:rPr>
          <w:rFonts w:asciiTheme="majorHAnsi" w:hAnsiTheme="majorHAnsi" w:cstheme="majorHAnsi"/>
          <w:bCs/>
          <w:sz w:val="24"/>
          <w:szCs w:val="24"/>
        </w:rPr>
        <w:t>200 000 ha</w:t>
      </w:r>
      <w:r w:rsidRPr="002E75D4">
        <w:rPr>
          <w:rFonts w:asciiTheme="majorHAnsi" w:hAnsiTheme="majorHAnsi" w:cstheme="majorHAnsi"/>
          <w:sz w:val="24"/>
          <w:szCs w:val="24"/>
        </w:rPr>
        <w:t xml:space="preserve"> de plantations (</w:t>
      </w:r>
      <w:r w:rsidRPr="002E75D4">
        <w:rPr>
          <w:rFonts w:asciiTheme="majorHAnsi" w:hAnsiTheme="majorHAnsi" w:cstheme="majorHAnsi"/>
          <w:bCs/>
          <w:sz w:val="24"/>
          <w:szCs w:val="24"/>
        </w:rPr>
        <w:t>13% des 1.540.000 ha</w:t>
      </w:r>
      <w:r w:rsidRPr="002E75D4">
        <w:rPr>
          <w:rFonts w:asciiTheme="majorHAnsi" w:hAnsiTheme="majorHAnsi" w:cstheme="majorHAnsi"/>
          <w:sz w:val="24"/>
          <w:szCs w:val="24"/>
        </w:rPr>
        <w:t>) de plantations d’acacia Sénégal, d’anacarde et autres fruits forestiers ;</w:t>
      </w:r>
    </w:p>
    <w:p w14:paraId="135DC874" w14:textId="77777777" w:rsidR="00C03EC4" w:rsidRPr="002E75D4" w:rsidRDefault="00C03EC4" w:rsidP="00C03EC4">
      <w:pPr>
        <w:pStyle w:val="Paragraphedeliste"/>
        <w:numPr>
          <w:ilvl w:val="0"/>
          <w:numId w:val="41"/>
        </w:num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Programme 2 : le Plan National de Reboisement (PNR). Le but est la réalisation, à l’horizon 2030, de </w:t>
      </w:r>
      <w:r w:rsidRPr="002E75D4">
        <w:rPr>
          <w:rFonts w:asciiTheme="majorHAnsi" w:hAnsiTheme="majorHAnsi" w:cstheme="majorHAnsi"/>
          <w:bCs/>
          <w:sz w:val="24"/>
          <w:szCs w:val="24"/>
        </w:rPr>
        <w:t>340.000 ha</w:t>
      </w:r>
      <w:r w:rsidRPr="002E75D4">
        <w:rPr>
          <w:rFonts w:asciiTheme="majorHAnsi" w:hAnsiTheme="majorHAnsi" w:cstheme="majorHAnsi"/>
          <w:sz w:val="24"/>
          <w:szCs w:val="24"/>
        </w:rPr>
        <w:t xml:space="preserve"> (</w:t>
      </w:r>
      <w:r w:rsidRPr="002E75D4">
        <w:rPr>
          <w:rFonts w:asciiTheme="majorHAnsi" w:hAnsiTheme="majorHAnsi" w:cstheme="majorHAnsi"/>
          <w:bCs/>
          <w:sz w:val="24"/>
          <w:szCs w:val="24"/>
        </w:rPr>
        <w:t>22% des 1.540.000 ha</w:t>
      </w:r>
      <w:r w:rsidRPr="002E75D4">
        <w:rPr>
          <w:rFonts w:asciiTheme="majorHAnsi" w:hAnsiTheme="majorHAnsi" w:cstheme="majorHAnsi"/>
          <w:sz w:val="24"/>
          <w:szCs w:val="24"/>
        </w:rPr>
        <w:t>) de reboisements. Il va constituer le socle de tous les travaux de reboisements futurs qui seront entrepris par les acteurs (Etat, Collectivités, ONG et planteurs privés);</w:t>
      </w:r>
    </w:p>
    <w:p w14:paraId="0FDFBD8B" w14:textId="77777777" w:rsidR="00C03EC4" w:rsidRPr="002E75D4" w:rsidRDefault="00C03EC4" w:rsidP="00C03EC4">
      <w:pPr>
        <w:pStyle w:val="Paragraphedeliste"/>
        <w:numPr>
          <w:ilvl w:val="0"/>
          <w:numId w:val="41"/>
        </w:num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Programme 3 : Renforcement de la séquestration du carbone forestier par la mise sous aménagements forestiers et exploitations contrôlées des formations forestières dans les domaines classé (forêts classées, aires protégées) et non classé de l’Etat (domaine protégé) et celui des particuliers. L’objectif visé à l’horizon 2030 est de</w:t>
      </w:r>
    </w:p>
    <w:p w14:paraId="15774834" w14:textId="77777777" w:rsidR="00C03EC4" w:rsidRPr="002E75D4" w:rsidRDefault="00C03EC4" w:rsidP="00C03EC4">
      <w:pPr>
        <w:pStyle w:val="Paragraphedeliste"/>
        <w:numPr>
          <w:ilvl w:val="1"/>
          <w:numId w:val="41"/>
        </w:numPr>
        <w:spacing w:line="240" w:lineRule="auto"/>
        <w:jc w:val="both"/>
        <w:rPr>
          <w:rFonts w:asciiTheme="majorHAnsi" w:hAnsiTheme="majorHAnsi" w:cstheme="majorHAnsi"/>
          <w:sz w:val="24"/>
          <w:szCs w:val="24"/>
        </w:rPr>
      </w:pPr>
      <w:r w:rsidRPr="002E75D4">
        <w:rPr>
          <w:rFonts w:asciiTheme="majorHAnsi" w:hAnsiTheme="majorHAnsi" w:cstheme="majorHAnsi"/>
          <w:bCs/>
          <w:sz w:val="24"/>
          <w:szCs w:val="24"/>
        </w:rPr>
        <w:t>1 000.000 ha</w:t>
      </w:r>
      <w:r w:rsidRPr="002E75D4">
        <w:rPr>
          <w:rFonts w:asciiTheme="majorHAnsi" w:hAnsiTheme="majorHAnsi" w:cstheme="majorHAnsi"/>
          <w:sz w:val="24"/>
          <w:szCs w:val="24"/>
        </w:rPr>
        <w:t xml:space="preserve"> (</w:t>
      </w:r>
      <w:r w:rsidRPr="002E75D4">
        <w:rPr>
          <w:rFonts w:asciiTheme="majorHAnsi" w:hAnsiTheme="majorHAnsi" w:cstheme="majorHAnsi"/>
          <w:bCs/>
          <w:sz w:val="24"/>
          <w:szCs w:val="24"/>
        </w:rPr>
        <w:t>65% des 1.540.000 ha</w:t>
      </w:r>
      <w:r w:rsidRPr="002E75D4">
        <w:rPr>
          <w:rFonts w:asciiTheme="majorHAnsi" w:hAnsiTheme="majorHAnsi" w:cstheme="majorHAnsi"/>
          <w:sz w:val="24"/>
          <w:szCs w:val="24"/>
        </w:rPr>
        <w:t>) de formations naturelles soumis aux aménagements forestiers et leurs protections pour le maintien du capital productif, de la biodiversité et de la lutte contre la dégradation des sols.</w:t>
      </w:r>
    </w:p>
    <w:p w14:paraId="1C19AA0A"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 xml:space="preserve">Ce vaste programme REDD+ consacre l’essentiel des programmes d’atténuation et d’adaptation dans le secteur de la foresterie. En outre, Il va comptabiliser les réalisations de séquestrations directes ou indirectes de CO2 en cours ou futures des programmes AGCC, PDD-DIN et GEDFOR. </w:t>
      </w:r>
    </w:p>
    <w:p w14:paraId="1F9D0F7C" w14:textId="77777777" w:rsidR="00C03EC4" w:rsidRPr="005F51BC" w:rsidRDefault="00C03EC4" w:rsidP="00C03EC4">
      <w:pPr>
        <w:pStyle w:val="Lgende"/>
        <w:ind w:right="140"/>
        <w:rPr>
          <w:rFonts w:asciiTheme="minorHAnsi" w:hAnsiTheme="minorHAnsi" w:cstheme="minorHAnsi"/>
          <w:b w:val="0"/>
          <w:sz w:val="24"/>
          <w:szCs w:val="24"/>
        </w:rPr>
      </w:pPr>
      <w:r w:rsidRPr="002E75D4">
        <w:rPr>
          <w:rFonts w:asciiTheme="minorHAnsi" w:eastAsia="Calibri" w:hAnsiTheme="minorHAnsi" w:cstheme="minorHAnsi"/>
          <w:b w:val="0"/>
          <w:sz w:val="24"/>
          <w:szCs w:val="24"/>
        </w:rPr>
        <w:t xml:space="preserve">Couts du scénario d’atténuation pour le </w:t>
      </w:r>
      <w:r w:rsidRPr="002E75D4">
        <w:rPr>
          <w:rFonts w:asciiTheme="minorHAnsi" w:hAnsiTheme="minorHAnsi" w:cstheme="minorHAnsi"/>
          <w:b w:val="0"/>
          <w:sz w:val="24"/>
          <w:szCs w:val="24"/>
        </w:rPr>
        <w:t>secteur de la foresterie</w:t>
      </w:r>
    </w:p>
    <w:p w14:paraId="6767D752" w14:textId="77777777" w:rsidR="00C03EC4" w:rsidRDefault="00C03EC4" w:rsidP="00C03EC4">
      <w:pPr>
        <w:pStyle w:val="Lgende"/>
        <w:ind w:right="140"/>
        <w:rPr>
          <w:rFonts w:asciiTheme="majorHAnsi" w:hAnsiTheme="majorHAnsi" w:cstheme="majorHAnsi"/>
          <w:sz w:val="24"/>
          <w:szCs w:val="24"/>
        </w:rPr>
      </w:pPr>
    </w:p>
    <w:p w14:paraId="15BC4560" w14:textId="77777777" w:rsidR="00C03EC4" w:rsidRPr="002E75D4" w:rsidRDefault="00C03EC4" w:rsidP="00C03EC4">
      <w:pPr>
        <w:pStyle w:val="Lgende"/>
        <w:ind w:right="140"/>
        <w:rPr>
          <w:rFonts w:asciiTheme="majorHAnsi" w:hAnsiTheme="majorHAnsi" w:cstheme="majorHAnsi"/>
          <w:b w:val="0"/>
          <w:bCs w:val="0"/>
          <w:sz w:val="24"/>
          <w:szCs w:val="24"/>
        </w:rPr>
      </w:pPr>
      <w:r w:rsidRPr="00B13E5A">
        <w:rPr>
          <w:rFonts w:asciiTheme="majorHAnsi" w:hAnsiTheme="majorHAnsi" w:cstheme="majorHAnsi"/>
          <w:sz w:val="24"/>
          <w:szCs w:val="24"/>
          <w:u w:val="single"/>
        </w:rPr>
        <w:t>Tableau 14</w:t>
      </w:r>
      <w:r w:rsidRPr="002E75D4">
        <w:rPr>
          <w:rFonts w:asciiTheme="majorHAnsi" w:hAnsiTheme="majorHAnsi" w:cstheme="majorHAnsi"/>
          <w:bCs w:val="0"/>
          <w:sz w:val="24"/>
          <w:szCs w:val="24"/>
        </w:rPr>
        <w:t xml:space="preserve"> :</w:t>
      </w:r>
      <w:r w:rsidRPr="002E75D4">
        <w:rPr>
          <w:rFonts w:asciiTheme="majorHAnsi" w:hAnsiTheme="majorHAnsi" w:cstheme="majorHAnsi"/>
          <w:b w:val="0"/>
          <w:bCs w:val="0"/>
          <w:sz w:val="24"/>
          <w:szCs w:val="24"/>
        </w:rPr>
        <w:t xml:space="preserve"> Projets d’atténuation à Co-bénéfices d’adaptation pour le secteur de la foresterie</w:t>
      </w:r>
    </w:p>
    <w:p w14:paraId="72BE2C85" w14:textId="77777777" w:rsidR="00C03EC4" w:rsidRPr="002E75D4" w:rsidRDefault="00C03EC4" w:rsidP="00C03EC4">
      <w:pPr>
        <w:pStyle w:val="Paragraphedeliste"/>
        <w:spacing w:after="0" w:line="240" w:lineRule="auto"/>
        <w:ind w:left="357"/>
        <w:jc w:val="both"/>
        <w:rPr>
          <w:rFonts w:asciiTheme="majorHAnsi" w:eastAsia="Calibri" w:hAnsiTheme="majorHAnsi" w:cstheme="majorHAnsi"/>
          <w:sz w:val="18"/>
          <w:szCs w:val="28"/>
          <w:lang w:eastAsia="en-US"/>
        </w:rPr>
      </w:pPr>
    </w:p>
    <w:tbl>
      <w:tblPr>
        <w:tblStyle w:val="Grillemoyenne3-Accent1"/>
        <w:tblW w:w="5000" w:type="pct"/>
        <w:tblLook w:val="0420" w:firstRow="1" w:lastRow="0" w:firstColumn="0" w:lastColumn="0" w:noHBand="0" w:noVBand="1"/>
      </w:tblPr>
      <w:tblGrid>
        <w:gridCol w:w="5310"/>
        <w:gridCol w:w="2108"/>
        <w:gridCol w:w="2201"/>
      </w:tblGrid>
      <w:tr w:rsidR="00C03EC4" w:rsidRPr="002E75D4" w14:paraId="0F481B87" w14:textId="77777777" w:rsidTr="000D6136">
        <w:trPr>
          <w:cnfStyle w:val="100000000000" w:firstRow="1" w:lastRow="0" w:firstColumn="0" w:lastColumn="0" w:oddVBand="0" w:evenVBand="0" w:oddHBand="0" w:evenHBand="0" w:firstRowFirstColumn="0" w:firstRowLastColumn="0" w:lastRowFirstColumn="0" w:lastRowLastColumn="0"/>
        </w:trPr>
        <w:tc>
          <w:tcPr>
            <w:tcW w:w="2760" w:type="pct"/>
            <w:shd w:val="clear" w:color="auto" w:fill="C00000"/>
          </w:tcPr>
          <w:p w14:paraId="04BED073" w14:textId="77777777" w:rsidR="00C03EC4" w:rsidRPr="002E75D4" w:rsidRDefault="00C03EC4" w:rsidP="000D6136">
            <w:pPr>
              <w:spacing w:before="240"/>
              <w:rPr>
                <w:rFonts w:asciiTheme="majorHAnsi" w:hAnsiTheme="majorHAnsi" w:cstheme="majorHAnsi"/>
                <w:color w:val="auto"/>
                <w:u w:val="single"/>
              </w:rPr>
            </w:pPr>
            <w:r w:rsidRPr="002E75D4">
              <w:rPr>
                <w:rFonts w:asciiTheme="majorHAnsi" w:hAnsiTheme="majorHAnsi" w:cstheme="majorHAnsi"/>
                <w:color w:val="auto"/>
              </w:rPr>
              <w:t>INTITULE DES PROJETS</w:t>
            </w:r>
          </w:p>
        </w:tc>
        <w:tc>
          <w:tcPr>
            <w:tcW w:w="1096" w:type="pct"/>
            <w:shd w:val="clear" w:color="auto" w:fill="002060"/>
          </w:tcPr>
          <w:p w14:paraId="274F6F12" w14:textId="77777777" w:rsidR="00C03EC4" w:rsidRPr="002E75D4" w:rsidRDefault="00C03EC4" w:rsidP="000D6136">
            <w:pPr>
              <w:spacing w:before="240"/>
              <w:rPr>
                <w:rFonts w:asciiTheme="majorHAnsi" w:hAnsiTheme="majorHAnsi" w:cstheme="majorHAnsi"/>
                <w:color w:val="auto"/>
                <w:u w:val="single"/>
              </w:rPr>
            </w:pPr>
            <w:r w:rsidRPr="002E75D4">
              <w:rPr>
                <w:rFonts w:asciiTheme="majorHAnsi" w:hAnsiTheme="majorHAnsi" w:cstheme="majorHAnsi"/>
                <w:color w:val="auto"/>
              </w:rPr>
              <w:t>MONTANT ($US)</w:t>
            </w:r>
          </w:p>
        </w:tc>
        <w:tc>
          <w:tcPr>
            <w:tcW w:w="1144" w:type="pct"/>
            <w:shd w:val="clear" w:color="auto" w:fill="BF8F00" w:themeFill="accent4" w:themeFillShade="BF"/>
          </w:tcPr>
          <w:p w14:paraId="2D64CE39" w14:textId="77777777" w:rsidR="00C03EC4" w:rsidRPr="002E75D4" w:rsidRDefault="00C03EC4" w:rsidP="000D6136">
            <w:pPr>
              <w:spacing w:before="240"/>
              <w:rPr>
                <w:rFonts w:asciiTheme="majorHAnsi" w:hAnsiTheme="majorHAnsi" w:cstheme="majorHAnsi"/>
                <w:color w:val="auto"/>
              </w:rPr>
            </w:pPr>
            <w:r w:rsidRPr="002E75D4">
              <w:rPr>
                <w:rFonts w:asciiTheme="majorHAnsi" w:hAnsiTheme="majorHAnsi" w:cstheme="majorHAnsi"/>
                <w:color w:val="auto"/>
              </w:rPr>
              <w:t>RESPONSABLES</w:t>
            </w:r>
          </w:p>
        </w:tc>
      </w:tr>
      <w:tr w:rsidR="00C03EC4" w:rsidRPr="002E75D4" w14:paraId="293E243B" w14:textId="77777777" w:rsidTr="000D6136">
        <w:trPr>
          <w:cnfStyle w:val="000000100000" w:firstRow="0" w:lastRow="0" w:firstColumn="0" w:lastColumn="0" w:oddVBand="0" w:evenVBand="0" w:oddHBand="1" w:evenHBand="0" w:firstRowFirstColumn="0" w:firstRowLastColumn="0" w:lastRowFirstColumn="0" w:lastRowLastColumn="0"/>
        </w:trPr>
        <w:tc>
          <w:tcPr>
            <w:tcW w:w="2760" w:type="pct"/>
            <w:shd w:val="clear" w:color="auto" w:fill="FFE1E1"/>
          </w:tcPr>
          <w:p w14:paraId="5C54D412" w14:textId="77777777" w:rsidR="00C03EC4" w:rsidRPr="002E75D4" w:rsidRDefault="00C03EC4" w:rsidP="000D6136">
            <w:pPr>
              <w:jc w:val="left"/>
              <w:rPr>
                <w:rFonts w:asciiTheme="majorHAnsi" w:hAnsiTheme="majorHAnsi" w:cstheme="majorHAnsi"/>
              </w:rPr>
            </w:pPr>
            <w:r w:rsidRPr="002E75D4">
              <w:rPr>
                <w:rFonts w:cstheme="minorHAnsi"/>
                <w:sz w:val="24"/>
                <w:szCs w:val="24"/>
              </w:rPr>
              <w:t>Le Programme n°1 :</w:t>
            </w:r>
            <w:r w:rsidRPr="002E75D4">
              <w:rPr>
                <w:rFonts w:asciiTheme="majorHAnsi" w:hAnsiTheme="majorHAnsi" w:cstheme="majorHAnsi"/>
                <w:sz w:val="24"/>
                <w:szCs w:val="24"/>
              </w:rPr>
              <w:t xml:space="preserve"> Développement de la Production de gomme arabique et autres PFNL et résilience des communautés locales dans les écosystèmes agro-forestiers des</w:t>
            </w:r>
          </w:p>
        </w:tc>
        <w:tc>
          <w:tcPr>
            <w:tcW w:w="1096" w:type="pct"/>
          </w:tcPr>
          <w:p w14:paraId="3D58A210" w14:textId="77777777" w:rsidR="00C03EC4" w:rsidRPr="002E75D4" w:rsidRDefault="00C03EC4" w:rsidP="000D6136">
            <w:pPr>
              <w:rPr>
                <w:rFonts w:asciiTheme="majorHAnsi" w:hAnsiTheme="majorHAnsi" w:cstheme="majorHAnsi"/>
              </w:rPr>
            </w:pPr>
            <w:r w:rsidRPr="002E75D4">
              <w:rPr>
                <w:rFonts w:asciiTheme="majorHAnsi" w:hAnsiTheme="majorHAnsi" w:cstheme="majorHAnsi"/>
                <w:sz w:val="24"/>
                <w:szCs w:val="24"/>
              </w:rPr>
              <w:t>170 000 000</w:t>
            </w:r>
          </w:p>
        </w:tc>
        <w:tc>
          <w:tcPr>
            <w:tcW w:w="1144" w:type="pct"/>
            <w:shd w:val="clear" w:color="auto" w:fill="FFE599" w:themeFill="accent4" w:themeFillTint="66"/>
          </w:tcPr>
          <w:p w14:paraId="0C4E0C65" w14:textId="77777777" w:rsidR="00C03EC4" w:rsidRPr="002E75D4" w:rsidRDefault="00C03EC4" w:rsidP="000D6136">
            <w:pPr>
              <w:rPr>
                <w:rFonts w:asciiTheme="majorHAnsi" w:hAnsiTheme="majorHAnsi" w:cstheme="majorHAnsi"/>
              </w:rPr>
            </w:pPr>
            <w:r w:rsidRPr="002E75D4">
              <w:rPr>
                <w:rFonts w:asciiTheme="majorHAnsi" w:hAnsiTheme="majorHAnsi" w:cstheme="majorHAnsi"/>
              </w:rPr>
              <w:t>DNEF</w:t>
            </w:r>
          </w:p>
        </w:tc>
      </w:tr>
      <w:tr w:rsidR="00C03EC4" w:rsidRPr="002E75D4" w14:paraId="644E162B" w14:textId="77777777" w:rsidTr="000D6136">
        <w:tc>
          <w:tcPr>
            <w:tcW w:w="2760" w:type="pct"/>
            <w:shd w:val="clear" w:color="auto" w:fill="FFF3F3"/>
          </w:tcPr>
          <w:p w14:paraId="5000C559" w14:textId="77777777" w:rsidR="00C03EC4" w:rsidRPr="002E75D4" w:rsidRDefault="00C03EC4" w:rsidP="000D6136">
            <w:pPr>
              <w:jc w:val="left"/>
              <w:rPr>
                <w:rFonts w:asciiTheme="majorHAnsi" w:hAnsiTheme="majorHAnsi" w:cstheme="majorHAnsi"/>
                <w:sz w:val="24"/>
                <w:szCs w:val="24"/>
              </w:rPr>
            </w:pPr>
            <w:r w:rsidRPr="002E75D4">
              <w:rPr>
                <w:rFonts w:cstheme="minorHAnsi"/>
                <w:sz w:val="24"/>
                <w:szCs w:val="24"/>
              </w:rPr>
              <w:t>Le Programme n°2 :</w:t>
            </w:r>
            <w:r w:rsidRPr="002E75D4">
              <w:rPr>
                <w:rFonts w:asciiTheme="majorHAnsi" w:hAnsiTheme="majorHAnsi" w:cstheme="majorHAnsi"/>
                <w:sz w:val="24"/>
                <w:szCs w:val="24"/>
              </w:rPr>
              <w:t xml:space="preserve"> Programme2 : le Plan National de Reboisement (PNR).</w:t>
            </w:r>
          </w:p>
        </w:tc>
        <w:tc>
          <w:tcPr>
            <w:tcW w:w="1096" w:type="pct"/>
          </w:tcPr>
          <w:p w14:paraId="489FBFF9" w14:textId="77777777" w:rsidR="00C03EC4" w:rsidRPr="002E75D4" w:rsidRDefault="00C03EC4" w:rsidP="000D6136">
            <w:pPr>
              <w:rPr>
                <w:rFonts w:asciiTheme="majorHAnsi" w:hAnsiTheme="majorHAnsi" w:cstheme="majorHAnsi"/>
                <w:sz w:val="24"/>
                <w:szCs w:val="24"/>
              </w:rPr>
            </w:pPr>
            <w:r w:rsidRPr="002E75D4">
              <w:rPr>
                <w:rFonts w:asciiTheme="majorHAnsi" w:hAnsiTheme="majorHAnsi" w:cstheme="majorHAnsi"/>
                <w:sz w:val="24"/>
                <w:szCs w:val="24"/>
              </w:rPr>
              <w:t>289 000 000</w:t>
            </w:r>
          </w:p>
        </w:tc>
        <w:tc>
          <w:tcPr>
            <w:tcW w:w="1144" w:type="pct"/>
            <w:shd w:val="clear" w:color="auto" w:fill="FFF2CC" w:themeFill="accent4" w:themeFillTint="33"/>
          </w:tcPr>
          <w:p w14:paraId="339488BA" w14:textId="77777777" w:rsidR="00C03EC4" w:rsidRPr="002E75D4" w:rsidRDefault="00C03EC4" w:rsidP="000D6136">
            <w:pPr>
              <w:rPr>
                <w:rFonts w:asciiTheme="majorHAnsi" w:hAnsiTheme="majorHAnsi" w:cstheme="majorHAnsi"/>
              </w:rPr>
            </w:pPr>
            <w:r w:rsidRPr="002E75D4">
              <w:rPr>
                <w:rFonts w:asciiTheme="majorHAnsi" w:hAnsiTheme="majorHAnsi" w:cstheme="majorHAnsi"/>
              </w:rPr>
              <w:t>DNEF</w:t>
            </w:r>
          </w:p>
        </w:tc>
      </w:tr>
      <w:tr w:rsidR="00C03EC4" w:rsidRPr="002E75D4" w14:paraId="4AF0A312" w14:textId="77777777" w:rsidTr="000D6136">
        <w:trPr>
          <w:cnfStyle w:val="000000100000" w:firstRow="0" w:lastRow="0" w:firstColumn="0" w:lastColumn="0" w:oddVBand="0" w:evenVBand="0" w:oddHBand="1" w:evenHBand="0" w:firstRowFirstColumn="0" w:firstRowLastColumn="0" w:lastRowFirstColumn="0" w:lastRowLastColumn="0"/>
        </w:trPr>
        <w:tc>
          <w:tcPr>
            <w:tcW w:w="2760" w:type="pct"/>
            <w:shd w:val="clear" w:color="auto" w:fill="FFE1E1"/>
          </w:tcPr>
          <w:p w14:paraId="22B55E38" w14:textId="77777777" w:rsidR="00C03EC4" w:rsidRPr="002E75D4" w:rsidRDefault="00C03EC4" w:rsidP="000D6136">
            <w:pPr>
              <w:jc w:val="left"/>
              <w:rPr>
                <w:rFonts w:asciiTheme="majorHAnsi" w:hAnsiTheme="majorHAnsi" w:cstheme="majorHAnsi"/>
                <w:sz w:val="24"/>
                <w:szCs w:val="24"/>
              </w:rPr>
            </w:pPr>
            <w:r w:rsidRPr="002E75D4">
              <w:rPr>
                <w:rFonts w:cstheme="minorHAnsi"/>
                <w:sz w:val="24"/>
                <w:szCs w:val="24"/>
              </w:rPr>
              <w:t>Le Programme n°3 :</w:t>
            </w:r>
            <w:r w:rsidRPr="002E75D4">
              <w:rPr>
                <w:rFonts w:asciiTheme="majorHAnsi" w:hAnsiTheme="majorHAnsi" w:cstheme="majorHAnsi"/>
                <w:sz w:val="24"/>
                <w:szCs w:val="24"/>
              </w:rPr>
              <w:t xml:space="preserve"> Renforcement de la séquestration du carbone par la mise sous aménagement des formations forestières dans les domaines classé et non classé de l’Etat, le domaine protégé et celui des particuliers.</w:t>
            </w:r>
          </w:p>
        </w:tc>
        <w:tc>
          <w:tcPr>
            <w:tcW w:w="1096" w:type="pct"/>
          </w:tcPr>
          <w:p w14:paraId="22EC41B8" w14:textId="77777777" w:rsidR="00C03EC4" w:rsidRPr="002E75D4" w:rsidRDefault="00C03EC4" w:rsidP="000D6136">
            <w:pPr>
              <w:rPr>
                <w:rFonts w:asciiTheme="majorHAnsi" w:hAnsiTheme="majorHAnsi" w:cstheme="majorHAnsi"/>
                <w:sz w:val="24"/>
                <w:szCs w:val="24"/>
              </w:rPr>
            </w:pPr>
            <w:r w:rsidRPr="002E75D4">
              <w:rPr>
                <w:rFonts w:asciiTheme="majorHAnsi" w:hAnsiTheme="majorHAnsi" w:cstheme="majorHAnsi"/>
                <w:sz w:val="24"/>
                <w:szCs w:val="24"/>
              </w:rPr>
              <w:t>250 000 000</w:t>
            </w:r>
          </w:p>
        </w:tc>
        <w:tc>
          <w:tcPr>
            <w:tcW w:w="1144" w:type="pct"/>
            <w:shd w:val="clear" w:color="auto" w:fill="FFE599" w:themeFill="accent4" w:themeFillTint="66"/>
          </w:tcPr>
          <w:p w14:paraId="5CA1EC3C" w14:textId="77777777" w:rsidR="00C03EC4" w:rsidRPr="002E75D4" w:rsidRDefault="00C03EC4" w:rsidP="000D6136">
            <w:pPr>
              <w:rPr>
                <w:rFonts w:asciiTheme="majorHAnsi" w:hAnsiTheme="majorHAnsi" w:cstheme="majorHAnsi"/>
              </w:rPr>
            </w:pPr>
            <w:r w:rsidRPr="002E75D4">
              <w:rPr>
                <w:rFonts w:asciiTheme="majorHAnsi" w:hAnsiTheme="majorHAnsi" w:cstheme="majorHAnsi"/>
              </w:rPr>
              <w:t>DNEF</w:t>
            </w:r>
          </w:p>
        </w:tc>
      </w:tr>
      <w:tr w:rsidR="00C03EC4" w:rsidRPr="002E75D4" w14:paraId="7D70B9C8" w14:textId="77777777" w:rsidTr="000D6136">
        <w:tc>
          <w:tcPr>
            <w:tcW w:w="2760" w:type="pct"/>
            <w:shd w:val="clear" w:color="auto" w:fill="FFB3B3"/>
          </w:tcPr>
          <w:p w14:paraId="0CACCB40" w14:textId="77777777" w:rsidR="00C03EC4" w:rsidRPr="002E75D4" w:rsidRDefault="00C03EC4" w:rsidP="000D6136">
            <w:pPr>
              <w:jc w:val="left"/>
              <w:rPr>
                <w:rFonts w:cstheme="minorHAnsi"/>
                <w:sz w:val="24"/>
                <w:szCs w:val="24"/>
              </w:rPr>
            </w:pPr>
            <w:r w:rsidRPr="002E75D4">
              <w:rPr>
                <w:rFonts w:cstheme="minorHAnsi"/>
                <w:sz w:val="24"/>
                <w:szCs w:val="24"/>
              </w:rPr>
              <w:t>Total</w:t>
            </w:r>
          </w:p>
        </w:tc>
        <w:tc>
          <w:tcPr>
            <w:tcW w:w="1096" w:type="pct"/>
            <w:shd w:val="clear" w:color="auto" w:fill="619ED5"/>
          </w:tcPr>
          <w:p w14:paraId="5BFE0454" w14:textId="77777777" w:rsidR="00C03EC4" w:rsidRPr="002E75D4" w:rsidRDefault="00C03EC4" w:rsidP="000D6136">
            <w:pPr>
              <w:rPr>
                <w:rFonts w:asciiTheme="majorHAnsi" w:hAnsiTheme="majorHAnsi" w:cstheme="majorHAnsi"/>
                <w:sz w:val="24"/>
                <w:szCs w:val="24"/>
              </w:rPr>
            </w:pPr>
            <w:r w:rsidRPr="002E75D4">
              <w:rPr>
                <w:rFonts w:asciiTheme="majorHAnsi" w:hAnsiTheme="majorHAnsi" w:cstheme="majorHAnsi"/>
                <w:sz w:val="24"/>
                <w:szCs w:val="24"/>
              </w:rPr>
              <w:t>709 000 000</w:t>
            </w:r>
          </w:p>
        </w:tc>
        <w:tc>
          <w:tcPr>
            <w:tcW w:w="1144" w:type="pct"/>
            <w:shd w:val="clear" w:color="auto" w:fill="FFD966" w:themeFill="accent4" w:themeFillTint="99"/>
          </w:tcPr>
          <w:p w14:paraId="3AF8FF8E" w14:textId="77777777" w:rsidR="00C03EC4" w:rsidRPr="002E75D4" w:rsidRDefault="00C03EC4" w:rsidP="000D6136">
            <w:pPr>
              <w:rPr>
                <w:rFonts w:asciiTheme="majorHAnsi" w:hAnsiTheme="majorHAnsi" w:cstheme="majorHAnsi"/>
              </w:rPr>
            </w:pPr>
          </w:p>
        </w:tc>
      </w:tr>
    </w:tbl>
    <w:p w14:paraId="68942DA2" w14:textId="77777777" w:rsidR="00C03EC4" w:rsidRPr="002E75D4" w:rsidRDefault="00C03EC4" w:rsidP="00C03EC4">
      <w:pPr>
        <w:spacing w:after="0"/>
        <w:ind w:right="95"/>
        <w:jc w:val="both"/>
        <w:rPr>
          <w:rFonts w:asciiTheme="majorHAnsi" w:hAnsiTheme="majorHAnsi" w:cstheme="majorHAnsi"/>
          <w:sz w:val="24"/>
          <w:szCs w:val="24"/>
        </w:rPr>
      </w:pPr>
    </w:p>
    <w:p w14:paraId="17A782FC" w14:textId="77777777" w:rsidR="00C03EC4" w:rsidRPr="002E75D4" w:rsidRDefault="00C03EC4" w:rsidP="00C03EC4">
      <w:pPr>
        <w:spacing w:after="0" w:line="240" w:lineRule="auto"/>
        <w:ind w:right="95"/>
        <w:jc w:val="both"/>
        <w:rPr>
          <w:rFonts w:asciiTheme="majorHAnsi" w:hAnsiTheme="majorHAnsi" w:cstheme="majorHAnsi"/>
          <w:sz w:val="24"/>
          <w:szCs w:val="24"/>
        </w:rPr>
      </w:pPr>
      <w:r w:rsidRPr="002E75D4">
        <w:rPr>
          <w:rFonts w:asciiTheme="majorHAnsi" w:hAnsiTheme="majorHAnsi" w:cstheme="majorHAnsi"/>
          <w:sz w:val="24"/>
          <w:szCs w:val="24"/>
        </w:rPr>
        <w:t xml:space="preserve">Le coût global du scénario d’atténuation de la forêt est de </w:t>
      </w:r>
      <w:r w:rsidRPr="002E75D4">
        <w:rPr>
          <w:rFonts w:asciiTheme="majorHAnsi" w:hAnsiTheme="majorHAnsi" w:cstheme="majorHAnsi"/>
          <w:bCs/>
          <w:sz w:val="24"/>
          <w:szCs w:val="24"/>
        </w:rPr>
        <w:t>709 millions $ US.</w:t>
      </w:r>
      <w:bookmarkStart w:id="10" w:name="_Toc66454278"/>
      <w:r w:rsidRPr="002E75D4">
        <w:rPr>
          <w:rFonts w:asciiTheme="majorHAnsi" w:hAnsiTheme="majorHAnsi" w:cstheme="majorHAnsi"/>
          <w:sz w:val="24"/>
          <w:szCs w:val="24"/>
        </w:rPr>
        <w:t xml:space="preserve"> </w:t>
      </w:r>
    </w:p>
    <w:p w14:paraId="1058BCF0" w14:textId="77777777" w:rsidR="00C03EC4" w:rsidRPr="002E75D4" w:rsidRDefault="00C03EC4" w:rsidP="00C03EC4">
      <w:pPr>
        <w:spacing w:after="0" w:line="240" w:lineRule="auto"/>
        <w:ind w:right="95"/>
        <w:jc w:val="both"/>
        <w:rPr>
          <w:rFonts w:asciiTheme="majorHAnsi" w:hAnsiTheme="majorHAnsi" w:cstheme="majorHAnsi"/>
          <w:sz w:val="24"/>
          <w:szCs w:val="24"/>
        </w:rPr>
      </w:pPr>
    </w:p>
    <w:p w14:paraId="3755104A" w14:textId="77777777" w:rsidR="00C03EC4" w:rsidRPr="002E75D4" w:rsidRDefault="00C03EC4" w:rsidP="00C03EC4">
      <w:pPr>
        <w:spacing w:after="0" w:line="240" w:lineRule="auto"/>
        <w:ind w:right="95"/>
        <w:jc w:val="both"/>
        <w:rPr>
          <w:rFonts w:cstheme="minorHAnsi"/>
          <w:bCs/>
          <w:sz w:val="24"/>
          <w:szCs w:val="28"/>
        </w:rPr>
      </w:pPr>
      <w:r w:rsidRPr="002E75D4">
        <w:rPr>
          <w:rFonts w:cstheme="minorHAnsi"/>
          <w:bCs/>
          <w:sz w:val="24"/>
          <w:szCs w:val="28"/>
        </w:rPr>
        <w:t>Prévision</w:t>
      </w:r>
      <w:r w:rsidRPr="002E75D4">
        <w:rPr>
          <w:rFonts w:cstheme="minorHAnsi"/>
          <w:bCs/>
          <w:spacing w:val="-4"/>
          <w:sz w:val="24"/>
          <w:szCs w:val="28"/>
        </w:rPr>
        <w:t xml:space="preserve"> </w:t>
      </w:r>
      <w:r w:rsidRPr="002E75D4">
        <w:rPr>
          <w:rFonts w:cstheme="minorHAnsi"/>
          <w:bCs/>
          <w:spacing w:val="-2"/>
          <w:sz w:val="24"/>
          <w:szCs w:val="28"/>
        </w:rPr>
        <w:t>des</w:t>
      </w:r>
      <w:r w:rsidRPr="002E75D4">
        <w:rPr>
          <w:rFonts w:cstheme="minorHAnsi"/>
          <w:bCs/>
          <w:spacing w:val="-1"/>
          <w:sz w:val="24"/>
          <w:szCs w:val="28"/>
        </w:rPr>
        <w:t xml:space="preserve"> </w:t>
      </w:r>
      <w:r w:rsidRPr="002E75D4">
        <w:rPr>
          <w:rFonts w:cstheme="minorHAnsi"/>
          <w:bCs/>
          <w:spacing w:val="-3"/>
          <w:sz w:val="24"/>
          <w:szCs w:val="28"/>
        </w:rPr>
        <w:t>émissions</w:t>
      </w:r>
      <w:r w:rsidRPr="002E75D4">
        <w:rPr>
          <w:rFonts w:cstheme="minorHAnsi"/>
          <w:bCs/>
          <w:spacing w:val="-1"/>
          <w:sz w:val="24"/>
          <w:szCs w:val="28"/>
        </w:rPr>
        <w:t xml:space="preserve"> </w:t>
      </w:r>
      <w:r w:rsidRPr="002E75D4">
        <w:rPr>
          <w:rFonts w:cstheme="minorHAnsi"/>
          <w:bCs/>
          <w:spacing w:val="-5"/>
          <w:sz w:val="24"/>
          <w:szCs w:val="28"/>
        </w:rPr>
        <w:t>d</w:t>
      </w:r>
      <w:r w:rsidRPr="002E75D4">
        <w:rPr>
          <w:rFonts w:cstheme="minorHAnsi"/>
          <w:bCs/>
          <w:spacing w:val="-4"/>
          <w:sz w:val="24"/>
          <w:szCs w:val="28"/>
        </w:rPr>
        <w:t>e</w:t>
      </w:r>
      <w:r w:rsidRPr="002E75D4">
        <w:rPr>
          <w:rFonts w:cstheme="minorHAnsi"/>
          <w:bCs/>
          <w:spacing w:val="12"/>
          <w:sz w:val="24"/>
          <w:szCs w:val="28"/>
        </w:rPr>
        <w:t xml:space="preserve"> </w:t>
      </w:r>
      <w:r w:rsidRPr="002E75D4">
        <w:rPr>
          <w:rFonts w:cstheme="minorHAnsi"/>
          <w:bCs/>
          <w:spacing w:val="-1"/>
          <w:sz w:val="24"/>
          <w:szCs w:val="28"/>
        </w:rPr>
        <w:t>GES</w:t>
      </w:r>
      <w:r w:rsidRPr="002E75D4">
        <w:rPr>
          <w:rFonts w:cstheme="minorHAnsi"/>
          <w:bCs/>
          <w:spacing w:val="-2"/>
          <w:sz w:val="24"/>
          <w:szCs w:val="28"/>
        </w:rPr>
        <w:t xml:space="preserve"> </w:t>
      </w:r>
      <w:r w:rsidRPr="002E75D4">
        <w:rPr>
          <w:rFonts w:cstheme="minorHAnsi"/>
          <w:bCs/>
          <w:spacing w:val="-7"/>
          <w:sz w:val="24"/>
          <w:szCs w:val="28"/>
        </w:rPr>
        <w:t>da</w:t>
      </w:r>
      <w:r w:rsidRPr="002E75D4">
        <w:rPr>
          <w:rFonts w:cstheme="minorHAnsi"/>
          <w:bCs/>
          <w:spacing w:val="-6"/>
          <w:sz w:val="24"/>
          <w:szCs w:val="28"/>
        </w:rPr>
        <w:t>ns</w:t>
      </w:r>
      <w:r w:rsidRPr="002E75D4">
        <w:rPr>
          <w:rFonts w:cstheme="minorHAnsi"/>
          <w:bCs/>
          <w:spacing w:val="28"/>
          <w:sz w:val="24"/>
          <w:szCs w:val="28"/>
        </w:rPr>
        <w:t xml:space="preserve"> </w:t>
      </w:r>
      <w:r w:rsidRPr="002E75D4">
        <w:rPr>
          <w:rFonts w:cstheme="minorHAnsi"/>
          <w:bCs/>
          <w:sz w:val="24"/>
          <w:szCs w:val="28"/>
        </w:rPr>
        <w:t>le</w:t>
      </w:r>
      <w:r w:rsidRPr="002E75D4">
        <w:rPr>
          <w:rFonts w:cstheme="minorHAnsi"/>
          <w:bCs/>
          <w:spacing w:val="6"/>
          <w:sz w:val="24"/>
          <w:szCs w:val="28"/>
        </w:rPr>
        <w:t xml:space="preserve"> </w:t>
      </w:r>
      <w:r w:rsidRPr="002E75D4">
        <w:rPr>
          <w:rFonts w:cstheme="minorHAnsi"/>
          <w:bCs/>
          <w:sz w:val="24"/>
          <w:szCs w:val="28"/>
        </w:rPr>
        <w:t>secteur</w:t>
      </w:r>
      <w:r w:rsidRPr="002E75D4">
        <w:rPr>
          <w:rFonts w:cstheme="minorHAnsi"/>
          <w:bCs/>
          <w:spacing w:val="8"/>
          <w:sz w:val="24"/>
          <w:szCs w:val="28"/>
        </w:rPr>
        <w:t xml:space="preserve"> </w:t>
      </w:r>
      <w:r w:rsidRPr="002E75D4">
        <w:rPr>
          <w:rFonts w:cstheme="minorHAnsi"/>
          <w:bCs/>
          <w:spacing w:val="-5"/>
          <w:sz w:val="24"/>
          <w:szCs w:val="28"/>
        </w:rPr>
        <w:t>d</w:t>
      </w:r>
      <w:r w:rsidRPr="002E75D4">
        <w:rPr>
          <w:rFonts w:cstheme="minorHAnsi"/>
          <w:bCs/>
          <w:spacing w:val="-4"/>
          <w:sz w:val="24"/>
          <w:szCs w:val="28"/>
        </w:rPr>
        <w:t>e</w:t>
      </w:r>
      <w:r w:rsidRPr="002E75D4">
        <w:rPr>
          <w:rFonts w:cstheme="minorHAnsi"/>
          <w:bCs/>
          <w:spacing w:val="6"/>
          <w:sz w:val="24"/>
          <w:szCs w:val="28"/>
        </w:rPr>
        <w:t xml:space="preserve"> </w:t>
      </w:r>
      <w:r w:rsidRPr="002E75D4">
        <w:rPr>
          <w:rFonts w:cstheme="minorHAnsi"/>
          <w:bCs/>
          <w:sz w:val="24"/>
          <w:szCs w:val="28"/>
        </w:rPr>
        <w:t>la</w:t>
      </w:r>
      <w:r w:rsidRPr="002E75D4">
        <w:rPr>
          <w:rFonts w:cstheme="minorHAnsi"/>
          <w:bCs/>
          <w:spacing w:val="3"/>
          <w:sz w:val="24"/>
          <w:szCs w:val="28"/>
        </w:rPr>
        <w:t xml:space="preserve"> </w:t>
      </w:r>
      <w:r w:rsidRPr="002E75D4">
        <w:rPr>
          <w:rFonts w:cstheme="minorHAnsi"/>
          <w:bCs/>
          <w:sz w:val="24"/>
          <w:szCs w:val="28"/>
        </w:rPr>
        <w:t>Foresterie</w:t>
      </w:r>
      <w:bookmarkEnd w:id="10"/>
      <w:r w:rsidRPr="002E75D4">
        <w:rPr>
          <w:rFonts w:cstheme="minorHAnsi"/>
          <w:bCs/>
          <w:sz w:val="24"/>
          <w:szCs w:val="28"/>
        </w:rPr>
        <w:t xml:space="preserve"> </w:t>
      </w:r>
    </w:p>
    <w:p w14:paraId="555EBD33" w14:textId="77777777" w:rsidR="00C03EC4" w:rsidRPr="002E75D4" w:rsidRDefault="00C03EC4" w:rsidP="00C03EC4">
      <w:pPr>
        <w:spacing w:after="0" w:line="240" w:lineRule="auto"/>
        <w:ind w:right="95"/>
        <w:jc w:val="both"/>
        <w:rPr>
          <w:rFonts w:asciiTheme="majorHAnsi" w:hAnsiTheme="majorHAnsi" w:cstheme="majorHAnsi"/>
          <w:bCs/>
          <w:sz w:val="24"/>
          <w:szCs w:val="24"/>
        </w:rPr>
      </w:pPr>
    </w:p>
    <w:p w14:paraId="2E8D30F5" w14:textId="77777777" w:rsidR="00C03EC4" w:rsidRDefault="00C03EC4" w:rsidP="00C03EC4">
      <w:pPr>
        <w:spacing w:line="240" w:lineRule="auto"/>
        <w:jc w:val="both"/>
        <w:rPr>
          <w:rFonts w:asciiTheme="majorHAnsi" w:hAnsiTheme="majorHAnsi" w:cstheme="majorHAnsi"/>
          <w:spacing w:val="-1"/>
          <w:sz w:val="24"/>
        </w:rPr>
      </w:pPr>
      <w:r w:rsidRPr="002E75D4">
        <w:rPr>
          <w:rFonts w:asciiTheme="majorHAnsi" w:hAnsiTheme="majorHAnsi" w:cstheme="majorHAnsi"/>
          <w:sz w:val="24"/>
        </w:rPr>
        <w:t xml:space="preserve">Le tableau 15 ci-dessous donne le bilan des émissions du secteur Forêt pour les </w:t>
      </w:r>
      <w:r w:rsidRPr="002E75D4">
        <w:rPr>
          <w:rFonts w:asciiTheme="majorHAnsi" w:hAnsiTheme="majorHAnsi" w:cstheme="majorHAnsi"/>
          <w:spacing w:val="-1"/>
          <w:sz w:val="24"/>
        </w:rPr>
        <w:t>scénarios de base et d’atténuation</w:t>
      </w:r>
    </w:p>
    <w:p w14:paraId="799C0243" w14:textId="77777777" w:rsidR="00C03EC4" w:rsidRPr="002E75D4" w:rsidRDefault="00C03EC4" w:rsidP="00C03EC4">
      <w:pPr>
        <w:spacing w:line="240" w:lineRule="auto"/>
        <w:jc w:val="both"/>
        <w:rPr>
          <w:rFonts w:asciiTheme="majorHAnsi" w:hAnsiTheme="majorHAnsi" w:cstheme="majorHAnsi"/>
          <w:spacing w:val="-1"/>
          <w:sz w:val="24"/>
        </w:rPr>
      </w:pPr>
      <w:r w:rsidRPr="00B13E5A">
        <w:rPr>
          <w:rFonts w:asciiTheme="majorHAnsi" w:hAnsiTheme="majorHAnsi" w:cstheme="majorHAnsi"/>
          <w:b/>
          <w:bCs/>
          <w:spacing w:val="-1"/>
          <w:sz w:val="24"/>
          <w:szCs w:val="24"/>
          <w:u w:val="single"/>
        </w:rPr>
        <w:t>Tableau 15</w:t>
      </w:r>
      <w:r w:rsidRPr="002E75D4">
        <w:rPr>
          <w:rFonts w:asciiTheme="majorHAnsi" w:hAnsiTheme="majorHAnsi" w:cstheme="majorHAnsi"/>
          <w:b/>
          <w:spacing w:val="-1"/>
          <w:sz w:val="24"/>
          <w:szCs w:val="24"/>
        </w:rPr>
        <w:t> :</w:t>
      </w:r>
      <w:r w:rsidRPr="002E75D4">
        <w:rPr>
          <w:rFonts w:asciiTheme="majorHAnsi" w:hAnsiTheme="majorHAnsi" w:cstheme="majorHAnsi"/>
          <w:spacing w:val="-1"/>
          <w:sz w:val="24"/>
          <w:szCs w:val="24"/>
        </w:rPr>
        <w:t xml:space="preserve"> </w:t>
      </w:r>
      <w:r w:rsidRPr="002E75D4">
        <w:rPr>
          <w:rFonts w:asciiTheme="majorHAnsi" w:hAnsiTheme="majorHAnsi" w:cstheme="majorHAnsi"/>
          <w:sz w:val="24"/>
          <w:szCs w:val="24"/>
        </w:rPr>
        <w:t>Bilan des émissions (séquestrations) du secteur Forêt</w:t>
      </w:r>
    </w:p>
    <w:tbl>
      <w:tblPr>
        <w:tblStyle w:val="Grillemoyenne3-Accent1"/>
        <w:tblW w:w="5000" w:type="pct"/>
        <w:tblLook w:val="0420" w:firstRow="1" w:lastRow="0" w:firstColumn="0" w:lastColumn="0" w:noHBand="0" w:noVBand="1"/>
      </w:tblPr>
      <w:tblGrid>
        <w:gridCol w:w="3197"/>
        <w:gridCol w:w="3205"/>
        <w:gridCol w:w="3217"/>
      </w:tblGrid>
      <w:tr w:rsidR="00C03EC4" w:rsidRPr="002E75D4" w14:paraId="06528A78" w14:textId="77777777" w:rsidTr="000D6136">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002060"/>
            <w:vAlign w:val="top"/>
          </w:tcPr>
          <w:p w14:paraId="710FCDAE" w14:textId="77777777" w:rsidR="00C03EC4" w:rsidRPr="002E75D4" w:rsidRDefault="00C03EC4" w:rsidP="000D6136">
            <w:pPr>
              <w:spacing w:before="120"/>
              <w:rPr>
                <w:rFonts w:asciiTheme="majorHAnsi" w:hAnsiTheme="majorHAnsi" w:cstheme="majorHAnsi"/>
                <w:color w:val="auto"/>
              </w:rPr>
            </w:pPr>
            <w:r w:rsidRPr="002E75D4">
              <w:rPr>
                <w:rFonts w:asciiTheme="majorHAnsi" w:hAnsiTheme="majorHAnsi" w:cstheme="majorHAnsi"/>
                <w:color w:val="auto"/>
              </w:rPr>
              <w:t>BILAN DES SEQUESTRATIONS DU SECTEUR FORET (KT CO2)</w:t>
            </w:r>
          </w:p>
        </w:tc>
      </w:tr>
      <w:tr w:rsidR="00C03EC4" w:rsidRPr="002E75D4" w14:paraId="096E07D9" w14:textId="77777777" w:rsidTr="000D6136">
        <w:trPr>
          <w:cnfStyle w:val="000000100000" w:firstRow="0" w:lastRow="0" w:firstColumn="0" w:lastColumn="0" w:oddVBand="0" w:evenVBand="0" w:oddHBand="1" w:evenHBand="0" w:firstRowFirstColumn="0" w:firstRowLastColumn="0" w:lastRowFirstColumn="0" w:lastRowLastColumn="0"/>
        </w:trPr>
        <w:tc>
          <w:tcPr>
            <w:tcW w:w="1662" w:type="pct"/>
            <w:shd w:val="clear" w:color="auto" w:fill="C00000"/>
          </w:tcPr>
          <w:p w14:paraId="2796D39E" w14:textId="77777777" w:rsidR="00C03EC4" w:rsidRPr="002E75D4" w:rsidRDefault="00C03EC4" w:rsidP="000D6136">
            <w:pPr>
              <w:spacing w:before="120"/>
              <w:rPr>
                <w:rFonts w:asciiTheme="majorHAnsi" w:hAnsiTheme="majorHAnsi" w:cstheme="majorHAnsi"/>
                <w:b/>
              </w:rPr>
            </w:pPr>
            <w:r w:rsidRPr="002E75D4">
              <w:rPr>
                <w:rFonts w:asciiTheme="majorHAnsi" w:hAnsiTheme="majorHAnsi" w:cstheme="majorHAnsi"/>
                <w:b/>
              </w:rPr>
              <w:t>Années</w:t>
            </w:r>
          </w:p>
        </w:tc>
        <w:tc>
          <w:tcPr>
            <w:tcW w:w="1666" w:type="pct"/>
            <w:shd w:val="clear" w:color="auto" w:fill="5B9BD5" w:themeFill="accent5"/>
          </w:tcPr>
          <w:p w14:paraId="60412CD0" w14:textId="77777777" w:rsidR="00C03EC4" w:rsidRPr="002E75D4" w:rsidRDefault="00C03EC4" w:rsidP="000D6136">
            <w:pPr>
              <w:spacing w:before="120"/>
              <w:rPr>
                <w:rFonts w:asciiTheme="majorHAnsi" w:hAnsiTheme="majorHAnsi" w:cstheme="majorHAnsi"/>
                <w:b/>
              </w:rPr>
            </w:pPr>
            <w:r w:rsidRPr="002E75D4">
              <w:rPr>
                <w:rFonts w:asciiTheme="majorHAnsi" w:hAnsiTheme="majorHAnsi" w:cstheme="majorHAnsi"/>
                <w:b/>
                <w:spacing w:val="-1"/>
              </w:rPr>
              <w:t>Scénario de base</w:t>
            </w:r>
          </w:p>
        </w:tc>
        <w:tc>
          <w:tcPr>
            <w:tcW w:w="1673" w:type="pct"/>
            <w:shd w:val="clear" w:color="auto" w:fill="BF8F00" w:themeFill="accent4" w:themeFillShade="BF"/>
          </w:tcPr>
          <w:p w14:paraId="3F610E4A" w14:textId="77777777" w:rsidR="00C03EC4" w:rsidRPr="002E75D4" w:rsidRDefault="00C03EC4" w:rsidP="000D6136">
            <w:pPr>
              <w:spacing w:before="120"/>
              <w:rPr>
                <w:rFonts w:asciiTheme="majorHAnsi" w:hAnsiTheme="majorHAnsi" w:cstheme="majorHAnsi"/>
                <w:b/>
              </w:rPr>
            </w:pPr>
            <w:r w:rsidRPr="002E75D4">
              <w:rPr>
                <w:rFonts w:asciiTheme="majorHAnsi" w:hAnsiTheme="majorHAnsi" w:cstheme="majorHAnsi"/>
                <w:b/>
                <w:spacing w:val="-1"/>
              </w:rPr>
              <w:t>Scénario d’atténuation</w:t>
            </w:r>
          </w:p>
        </w:tc>
      </w:tr>
      <w:tr w:rsidR="00C03EC4" w:rsidRPr="002E75D4" w14:paraId="06E8D946" w14:textId="77777777" w:rsidTr="000D6136">
        <w:tc>
          <w:tcPr>
            <w:tcW w:w="1662" w:type="pct"/>
            <w:shd w:val="clear" w:color="auto" w:fill="FFF3F3"/>
          </w:tcPr>
          <w:p w14:paraId="5D2FD6F0" w14:textId="77777777" w:rsidR="00C03EC4" w:rsidRPr="002E75D4" w:rsidRDefault="00C03EC4" w:rsidP="000D6136">
            <w:pPr>
              <w:spacing w:before="120"/>
              <w:rPr>
                <w:rFonts w:asciiTheme="majorHAnsi" w:hAnsiTheme="majorHAnsi" w:cstheme="majorHAnsi"/>
                <w:spacing w:val="-1"/>
              </w:rPr>
            </w:pPr>
            <w:r w:rsidRPr="002E75D4">
              <w:rPr>
                <w:rFonts w:asciiTheme="majorHAnsi" w:hAnsiTheme="majorHAnsi" w:cstheme="majorHAnsi"/>
              </w:rPr>
              <w:t>2020</w:t>
            </w:r>
          </w:p>
        </w:tc>
        <w:tc>
          <w:tcPr>
            <w:tcW w:w="1666" w:type="pct"/>
          </w:tcPr>
          <w:p w14:paraId="0F559D7E" w14:textId="77777777" w:rsidR="00C03EC4" w:rsidRPr="002E75D4" w:rsidRDefault="00C03EC4" w:rsidP="000D6136">
            <w:pPr>
              <w:spacing w:before="120"/>
              <w:rPr>
                <w:rFonts w:asciiTheme="majorHAnsi" w:hAnsiTheme="majorHAnsi" w:cstheme="majorHAnsi"/>
                <w:spacing w:val="-1"/>
              </w:rPr>
            </w:pPr>
            <w:r w:rsidRPr="002E75D4">
              <w:rPr>
                <w:rFonts w:asciiTheme="majorHAnsi" w:hAnsiTheme="majorHAnsi" w:cstheme="majorHAnsi"/>
              </w:rPr>
              <w:t>-334 386</w:t>
            </w:r>
          </w:p>
        </w:tc>
        <w:tc>
          <w:tcPr>
            <w:tcW w:w="1673" w:type="pct"/>
            <w:shd w:val="clear" w:color="auto" w:fill="FFF2CC" w:themeFill="accent4" w:themeFillTint="33"/>
          </w:tcPr>
          <w:p w14:paraId="62879841" w14:textId="77777777" w:rsidR="00C03EC4" w:rsidRPr="002E75D4" w:rsidRDefault="00C03EC4" w:rsidP="000D6136">
            <w:pPr>
              <w:spacing w:before="120"/>
              <w:rPr>
                <w:rFonts w:asciiTheme="majorHAnsi" w:hAnsiTheme="majorHAnsi" w:cstheme="majorHAnsi"/>
                <w:spacing w:val="-1"/>
              </w:rPr>
            </w:pPr>
            <w:r w:rsidRPr="002E75D4">
              <w:rPr>
                <w:rFonts w:asciiTheme="majorHAnsi" w:hAnsiTheme="majorHAnsi" w:cstheme="majorHAnsi"/>
              </w:rPr>
              <w:t>-334 386</w:t>
            </w:r>
          </w:p>
        </w:tc>
      </w:tr>
      <w:tr w:rsidR="00C03EC4" w:rsidRPr="002E75D4" w14:paraId="5CAB8DBD" w14:textId="77777777" w:rsidTr="000D6136">
        <w:trPr>
          <w:cnfStyle w:val="000000100000" w:firstRow="0" w:lastRow="0" w:firstColumn="0" w:lastColumn="0" w:oddVBand="0" w:evenVBand="0" w:oddHBand="1" w:evenHBand="0" w:firstRowFirstColumn="0" w:firstRowLastColumn="0" w:lastRowFirstColumn="0" w:lastRowLastColumn="0"/>
        </w:trPr>
        <w:tc>
          <w:tcPr>
            <w:tcW w:w="1662" w:type="pct"/>
            <w:shd w:val="clear" w:color="auto" w:fill="FFE1E1"/>
          </w:tcPr>
          <w:p w14:paraId="2DE3F5DF" w14:textId="77777777" w:rsidR="00C03EC4" w:rsidRPr="002E75D4" w:rsidRDefault="00C03EC4" w:rsidP="000D6136">
            <w:pPr>
              <w:spacing w:before="120"/>
              <w:rPr>
                <w:rFonts w:asciiTheme="majorHAnsi" w:hAnsiTheme="majorHAnsi" w:cstheme="majorHAnsi"/>
                <w:spacing w:val="-1"/>
              </w:rPr>
            </w:pPr>
            <w:r w:rsidRPr="002E75D4">
              <w:rPr>
                <w:rFonts w:asciiTheme="majorHAnsi" w:hAnsiTheme="majorHAnsi" w:cstheme="majorHAnsi"/>
              </w:rPr>
              <w:t>2021</w:t>
            </w:r>
          </w:p>
        </w:tc>
        <w:tc>
          <w:tcPr>
            <w:tcW w:w="1666" w:type="pct"/>
          </w:tcPr>
          <w:p w14:paraId="1D5C42A2" w14:textId="77777777" w:rsidR="00C03EC4" w:rsidRPr="002E75D4" w:rsidRDefault="00C03EC4" w:rsidP="000D6136">
            <w:pPr>
              <w:spacing w:before="120"/>
              <w:rPr>
                <w:rFonts w:asciiTheme="majorHAnsi" w:hAnsiTheme="majorHAnsi" w:cstheme="majorHAnsi"/>
                <w:spacing w:val="-1"/>
              </w:rPr>
            </w:pPr>
            <w:r w:rsidRPr="002E75D4">
              <w:rPr>
                <w:rFonts w:asciiTheme="majorHAnsi" w:hAnsiTheme="majorHAnsi" w:cstheme="majorHAnsi"/>
              </w:rPr>
              <w:t>-334 348</w:t>
            </w:r>
          </w:p>
        </w:tc>
        <w:tc>
          <w:tcPr>
            <w:tcW w:w="1673" w:type="pct"/>
            <w:shd w:val="clear" w:color="auto" w:fill="FFE599" w:themeFill="accent4" w:themeFillTint="66"/>
          </w:tcPr>
          <w:p w14:paraId="7774F36D" w14:textId="77777777" w:rsidR="00C03EC4" w:rsidRPr="002E75D4" w:rsidRDefault="00C03EC4" w:rsidP="000D6136">
            <w:pPr>
              <w:spacing w:before="120"/>
              <w:rPr>
                <w:rFonts w:asciiTheme="majorHAnsi" w:hAnsiTheme="majorHAnsi" w:cstheme="majorHAnsi"/>
                <w:spacing w:val="-1"/>
              </w:rPr>
            </w:pPr>
            <w:r w:rsidRPr="002E75D4">
              <w:rPr>
                <w:rFonts w:asciiTheme="majorHAnsi" w:hAnsiTheme="majorHAnsi" w:cstheme="majorHAnsi"/>
              </w:rPr>
              <w:t>-334 348</w:t>
            </w:r>
          </w:p>
        </w:tc>
      </w:tr>
      <w:tr w:rsidR="00C03EC4" w:rsidRPr="002E75D4" w14:paraId="5EF5544C" w14:textId="77777777" w:rsidTr="000D6136">
        <w:tc>
          <w:tcPr>
            <w:tcW w:w="1662" w:type="pct"/>
            <w:shd w:val="clear" w:color="auto" w:fill="FFF3F3"/>
          </w:tcPr>
          <w:p w14:paraId="3C69704A" w14:textId="77777777" w:rsidR="00C03EC4" w:rsidRPr="002E75D4" w:rsidRDefault="00C03EC4" w:rsidP="000D6136">
            <w:pPr>
              <w:spacing w:before="120"/>
              <w:rPr>
                <w:rFonts w:asciiTheme="majorHAnsi" w:hAnsiTheme="majorHAnsi" w:cstheme="majorHAnsi"/>
                <w:spacing w:val="-1"/>
              </w:rPr>
            </w:pPr>
            <w:r w:rsidRPr="002E75D4">
              <w:rPr>
                <w:rFonts w:asciiTheme="majorHAnsi" w:hAnsiTheme="majorHAnsi" w:cstheme="majorHAnsi"/>
              </w:rPr>
              <w:t>2022</w:t>
            </w:r>
          </w:p>
        </w:tc>
        <w:tc>
          <w:tcPr>
            <w:tcW w:w="1666" w:type="pct"/>
          </w:tcPr>
          <w:p w14:paraId="34059E8D" w14:textId="77777777" w:rsidR="00C03EC4" w:rsidRPr="002E75D4" w:rsidRDefault="00C03EC4" w:rsidP="000D6136">
            <w:pPr>
              <w:spacing w:before="120"/>
              <w:rPr>
                <w:rFonts w:asciiTheme="majorHAnsi" w:hAnsiTheme="majorHAnsi" w:cstheme="majorHAnsi"/>
                <w:spacing w:val="-1"/>
              </w:rPr>
            </w:pPr>
            <w:r w:rsidRPr="002E75D4">
              <w:rPr>
                <w:rFonts w:asciiTheme="majorHAnsi" w:hAnsiTheme="majorHAnsi" w:cstheme="majorHAnsi"/>
              </w:rPr>
              <w:t>-334 309</w:t>
            </w:r>
          </w:p>
        </w:tc>
        <w:tc>
          <w:tcPr>
            <w:tcW w:w="1673" w:type="pct"/>
            <w:shd w:val="clear" w:color="auto" w:fill="FFF2CC" w:themeFill="accent4" w:themeFillTint="33"/>
          </w:tcPr>
          <w:p w14:paraId="56A04EA1" w14:textId="77777777" w:rsidR="00C03EC4" w:rsidRPr="002E75D4" w:rsidRDefault="00C03EC4" w:rsidP="000D6136">
            <w:pPr>
              <w:spacing w:before="120"/>
              <w:rPr>
                <w:rFonts w:asciiTheme="majorHAnsi" w:hAnsiTheme="majorHAnsi" w:cstheme="majorHAnsi"/>
                <w:spacing w:val="-1"/>
              </w:rPr>
            </w:pPr>
            <w:r w:rsidRPr="002E75D4">
              <w:rPr>
                <w:rFonts w:asciiTheme="majorHAnsi" w:hAnsiTheme="majorHAnsi" w:cstheme="majorHAnsi"/>
              </w:rPr>
              <w:t>-336 362</w:t>
            </w:r>
          </w:p>
        </w:tc>
      </w:tr>
      <w:tr w:rsidR="00C03EC4" w:rsidRPr="002E75D4" w14:paraId="4DB945D5" w14:textId="77777777" w:rsidTr="000D6136">
        <w:trPr>
          <w:cnfStyle w:val="000000100000" w:firstRow="0" w:lastRow="0" w:firstColumn="0" w:lastColumn="0" w:oddVBand="0" w:evenVBand="0" w:oddHBand="1" w:evenHBand="0" w:firstRowFirstColumn="0" w:firstRowLastColumn="0" w:lastRowFirstColumn="0" w:lastRowLastColumn="0"/>
        </w:trPr>
        <w:tc>
          <w:tcPr>
            <w:tcW w:w="1662" w:type="pct"/>
            <w:shd w:val="clear" w:color="auto" w:fill="FFE1E1"/>
          </w:tcPr>
          <w:p w14:paraId="04AFD156"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2023</w:t>
            </w:r>
          </w:p>
        </w:tc>
        <w:tc>
          <w:tcPr>
            <w:tcW w:w="1666" w:type="pct"/>
          </w:tcPr>
          <w:p w14:paraId="67FE8F08"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-334 271</w:t>
            </w:r>
          </w:p>
        </w:tc>
        <w:tc>
          <w:tcPr>
            <w:tcW w:w="1673" w:type="pct"/>
            <w:shd w:val="clear" w:color="auto" w:fill="FFE599" w:themeFill="accent4" w:themeFillTint="66"/>
          </w:tcPr>
          <w:p w14:paraId="2BC207FD"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-346 256</w:t>
            </w:r>
          </w:p>
        </w:tc>
      </w:tr>
      <w:tr w:rsidR="00C03EC4" w:rsidRPr="002E75D4" w14:paraId="4688BC8A" w14:textId="77777777" w:rsidTr="000D6136">
        <w:tc>
          <w:tcPr>
            <w:tcW w:w="1662" w:type="pct"/>
            <w:shd w:val="clear" w:color="auto" w:fill="FFF3F3"/>
          </w:tcPr>
          <w:p w14:paraId="57B8DCCF"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2024</w:t>
            </w:r>
          </w:p>
        </w:tc>
        <w:tc>
          <w:tcPr>
            <w:tcW w:w="1666" w:type="pct"/>
          </w:tcPr>
          <w:p w14:paraId="69FBE8A2"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-334 232</w:t>
            </w:r>
          </w:p>
        </w:tc>
        <w:tc>
          <w:tcPr>
            <w:tcW w:w="1673" w:type="pct"/>
            <w:shd w:val="clear" w:color="auto" w:fill="FFF2CC" w:themeFill="accent4" w:themeFillTint="33"/>
          </w:tcPr>
          <w:p w14:paraId="00187D3A"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-354 148</w:t>
            </w:r>
          </w:p>
        </w:tc>
      </w:tr>
      <w:tr w:rsidR="00C03EC4" w:rsidRPr="002E75D4" w14:paraId="5DA7C155" w14:textId="77777777" w:rsidTr="000D6136">
        <w:trPr>
          <w:cnfStyle w:val="000000100000" w:firstRow="0" w:lastRow="0" w:firstColumn="0" w:lastColumn="0" w:oddVBand="0" w:evenVBand="0" w:oddHBand="1" w:evenHBand="0" w:firstRowFirstColumn="0" w:firstRowLastColumn="0" w:lastRowFirstColumn="0" w:lastRowLastColumn="0"/>
        </w:trPr>
        <w:tc>
          <w:tcPr>
            <w:tcW w:w="1662" w:type="pct"/>
            <w:shd w:val="clear" w:color="auto" w:fill="FFE1E1"/>
          </w:tcPr>
          <w:p w14:paraId="06B5C2E5"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2025</w:t>
            </w:r>
          </w:p>
        </w:tc>
        <w:tc>
          <w:tcPr>
            <w:tcW w:w="1666" w:type="pct"/>
          </w:tcPr>
          <w:p w14:paraId="06027442"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-334 194</w:t>
            </w:r>
          </w:p>
        </w:tc>
        <w:tc>
          <w:tcPr>
            <w:tcW w:w="1673" w:type="pct"/>
            <w:shd w:val="clear" w:color="auto" w:fill="FFE599" w:themeFill="accent4" w:themeFillTint="66"/>
          </w:tcPr>
          <w:p w14:paraId="2732A9C5"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-385 981</w:t>
            </w:r>
          </w:p>
        </w:tc>
      </w:tr>
      <w:tr w:rsidR="00C03EC4" w:rsidRPr="002E75D4" w14:paraId="078F017B" w14:textId="77777777" w:rsidTr="000D6136">
        <w:tc>
          <w:tcPr>
            <w:tcW w:w="1662" w:type="pct"/>
            <w:shd w:val="clear" w:color="auto" w:fill="FFF3F3"/>
          </w:tcPr>
          <w:p w14:paraId="07B0C0C2"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2026</w:t>
            </w:r>
          </w:p>
        </w:tc>
        <w:tc>
          <w:tcPr>
            <w:tcW w:w="1666" w:type="pct"/>
          </w:tcPr>
          <w:p w14:paraId="22DF9504"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-334 155</w:t>
            </w:r>
          </w:p>
        </w:tc>
        <w:tc>
          <w:tcPr>
            <w:tcW w:w="1673" w:type="pct"/>
            <w:shd w:val="clear" w:color="auto" w:fill="FFF2CC" w:themeFill="accent4" w:themeFillTint="33"/>
          </w:tcPr>
          <w:p w14:paraId="76647951"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-398 884</w:t>
            </w:r>
          </w:p>
        </w:tc>
      </w:tr>
      <w:tr w:rsidR="00C03EC4" w:rsidRPr="002E75D4" w14:paraId="6224DC86" w14:textId="77777777" w:rsidTr="000D6136">
        <w:trPr>
          <w:cnfStyle w:val="000000100000" w:firstRow="0" w:lastRow="0" w:firstColumn="0" w:lastColumn="0" w:oddVBand="0" w:evenVBand="0" w:oddHBand="1" w:evenHBand="0" w:firstRowFirstColumn="0" w:firstRowLastColumn="0" w:lastRowFirstColumn="0" w:lastRowLastColumn="0"/>
        </w:trPr>
        <w:tc>
          <w:tcPr>
            <w:tcW w:w="1662" w:type="pct"/>
            <w:shd w:val="clear" w:color="auto" w:fill="FFE1E1"/>
          </w:tcPr>
          <w:p w14:paraId="14387246"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2027</w:t>
            </w:r>
          </w:p>
        </w:tc>
        <w:tc>
          <w:tcPr>
            <w:tcW w:w="1666" w:type="pct"/>
          </w:tcPr>
          <w:p w14:paraId="5484AFCF"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-334 117</w:t>
            </w:r>
          </w:p>
        </w:tc>
        <w:tc>
          <w:tcPr>
            <w:tcW w:w="1673" w:type="pct"/>
            <w:shd w:val="clear" w:color="auto" w:fill="FFE599" w:themeFill="accent4" w:themeFillTint="66"/>
          </w:tcPr>
          <w:p w14:paraId="015983E0"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-411 789</w:t>
            </w:r>
          </w:p>
        </w:tc>
      </w:tr>
      <w:tr w:rsidR="00C03EC4" w:rsidRPr="002E75D4" w14:paraId="10DD5D45" w14:textId="77777777" w:rsidTr="000D6136">
        <w:tc>
          <w:tcPr>
            <w:tcW w:w="1662" w:type="pct"/>
            <w:shd w:val="clear" w:color="auto" w:fill="FFF3F3"/>
          </w:tcPr>
          <w:p w14:paraId="3B2CEAB4"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2028</w:t>
            </w:r>
          </w:p>
        </w:tc>
        <w:tc>
          <w:tcPr>
            <w:tcW w:w="1666" w:type="pct"/>
          </w:tcPr>
          <w:p w14:paraId="4534E185"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-334 078</w:t>
            </w:r>
          </w:p>
        </w:tc>
        <w:tc>
          <w:tcPr>
            <w:tcW w:w="1673" w:type="pct"/>
            <w:shd w:val="clear" w:color="auto" w:fill="FFF2CC" w:themeFill="accent4" w:themeFillTint="33"/>
          </w:tcPr>
          <w:p w14:paraId="18BC74E6"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-430 696</w:t>
            </w:r>
          </w:p>
        </w:tc>
      </w:tr>
      <w:tr w:rsidR="00C03EC4" w:rsidRPr="002E75D4" w14:paraId="002DE47E" w14:textId="77777777" w:rsidTr="000D6136">
        <w:trPr>
          <w:cnfStyle w:val="000000100000" w:firstRow="0" w:lastRow="0" w:firstColumn="0" w:lastColumn="0" w:oddVBand="0" w:evenVBand="0" w:oddHBand="1" w:evenHBand="0" w:firstRowFirstColumn="0" w:firstRowLastColumn="0" w:lastRowFirstColumn="0" w:lastRowLastColumn="0"/>
        </w:trPr>
        <w:tc>
          <w:tcPr>
            <w:tcW w:w="1662" w:type="pct"/>
            <w:shd w:val="clear" w:color="auto" w:fill="FFE1E1"/>
          </w:tcPr>
          <w:p w14:paraId="174FDF02"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2029</w:t>
            </w:r>
          </w:p>
        </w:tc>
        <w:tc>
          <w:tcPr>
            <w:tcW w:w="1666" w:type="pct"/>
          </w:tcPr>
          <w:p w14:paraId="6E2B1961"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-334 039</w:t>
            </w:r>
          </w:p>
        </w:tc>
        <w:tc>
          <w:tcPr>
            <w:tcW w:w="1673" w:type="pct"/>
            <w:shd w:val="clear" w:color="auto" w:fill="FFE599" w:themeFill="accent4" w:themeFillTint="66"/>
          </w:tcPr>
          <w:p w14:paraId="06798D49"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-437 604</w:t>
            </w:r>
          </w:p>
        </w:tc>
      </w:tr>
      <w:tr w:rsidR="00C03EC4" w:rsidRPr="002E75D4" w14:paraId="5A0F3BD2" w14:textId="77777777" w:rsidTr="000D6136">
        <w:tc>
          <w:tcPr>
            <w:tcW w:w="1662" w:type="pct"/>
            <w:shd w:val="clear" w:color="auto" w:fill="FFF3F3"/>
          </w:tcPr>
          <w:p w14:paraId="7BA3675F"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2030</w:t>
            </w:r>
          </w:p>
        </w:tc>
        <w:tc>
          <w:tcPr>
            <w:tcW w:w="1666" w:type="pct"/>
          </w:tcPr>
          <w:p w14:paraId="46C1B128"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-334 001</w:t>
            </w:r>
          </w:p>
        </w:tc>
        <w:tc>
          <w:tcPr>
            <w:tcW w:w="1673" w:type="pct"/>
            <w:shd w:val="clear" w:color="auto" w:fill="FFF2CC" w:themeFill="accent4" w:themeFillTint="33"/>
          </w:tcPr>
          <w:p w14:paraId="0FB62752" w14:textId="77777777" w:rsidR="00C03EC4" w:rsidRPr="002E75D4" w:rsidRDefault="00C03EC4" w:rsidP="000D6136">
            <w:pPr>
              <w:spacing w:before="120"/>
              <w:rPr>
                <w:rFonts w:asciiTheme="majorHAnsi" w:hAnsiTheme="majorHAnsi" w:cstheme="majorHAnsi"/>
              </w:rPr>
            </w:pPr>
            <w:r w:rsidRPr="002E75D4">
              <w:rPr>
                <w:rFonts w:asciiTheme="majorHAnsi" w:hAnsiTheme="majorHAnsi" w:cstheme="majorHAnsi"/>
              </w:rPr>
              <w:t>-463 456</w:t>
            </w:r>
          </w:p>
        </w:tc>
      </w:tr>
    </w:tbl>
    <w:p w14:paraId="1576C8A0" w14:textId="77777777" w:rsidR="00C03EC4" w:rsidRPr="002E75D4" w:rsidRDefault="00C03EC4" w:rsidP="00C03EC4">
      <w:pPr>
        <w:jc w:val="both"/>
        <w:rPr>
          <w:rFonts w:asciiTheme="majorHAnsi" w:hAnsiTheme="majorHAnsi" w:cstheme="majorHAnsi"/>
          <w:spacing w:val="-1"/>
          <w:sz w:val="24"/>
          <w:szCs w:val="24"/>
        </w:rPr>
      </w:pPr>
    </w:p>
    <w:p w14:paraId="08FB53BB" w14:textId="77777777" w:rsidR="00C03EC4" w:rsidRDefault="00C03EC4" w:rsidP="00C03EC4">
      <w:pPr>
        <w:jc w:val="both"/>
        <w:rPr>
          <w:rFonts w:asciiTheme="majorHAnsi" w:hAnsiTheme="majorHAnsi" w:cstheme="majorHAnsi"/>
          <w:spacing w:val="-1"/>
          <w:sz w:val="24"/>
          <w:szCs w:val="24"/>
        </w:rPr>
      </w:pPr>
      <w:r w:rsidRPr="002E75D4">
        <w:rPr>
          <w:rFonts w:asciiTheme="majorHAnsi" w:hAnsiTheme="majorHAnsi" w:cstheme="majorHAnsi"/>
          <w:spacing w:val="-1"/>
          <w:sz w:val="24"/>
          <w:szCs w:val="24"/>
        </w:rPr>
        <w:t xml:space="preserve">La figure 13 ci-après résume les évolutions des émissions (séquestrations) de GES au niveau du secteur des Forêts pour les scénarios de base et d’atténuation </w:t>
      </w:r>
    </w:p>
    <w:p w14:paraId="2CC7E9DA" w14:textId="77777777" w:rsidR="00C03EC4" w:rsidRPr="00A021BD" w:rsidRDefault="00C03EC4" w:rsidP="00C03EC4">
      <w:pPr>
        <w:jc w:val="both"/>
        <w:rPr>
          <w:rFonts w:asciiTheme="majorHAnsi" w:hAnsiTheme="majorHAnsi" w:cstheme="majorHAnsi"/>
          <w:spacing w:val="-1"/>
          <w:sz w:val="24"/>
          <w:szCs w:val="24"/>
        </w:rPr>
      </w:pPr>
      <w:r w:rsidRPr="00A021BD">
        <w:rPr>
          <w:rFonts w:cstheme="minorHAnsi"/>
          <w:spacing w:val="-1"/>
          <w:sz w:val="28"/>
          <w:szCs w:val="28"/>
        </w:rPr>
        <w:t>Emissions du secteur des Forêts pour le scénario de base et le scénario atténuation</w:t>
      </w:r>
      <w:r w:rsidRPr="00A021BD">
        <w:rPr>
          <w:rFonts w:asciiTheme="majorHAnsi" w:hAnsiTheme="majorHAnsi" w:cstheme="majorHAnsi"/>
          <w:noProof/>
          <w:sz w:val="28"/>
          <w:szCs w:val="28"/>
          <w:highlight w:val="yellow"/>
        </w:rPr>
        <w:t xml:space="preserve"> </w:t>
      </w:r>
    </w:p>
    <w:p w14:paraId="0C631D86" w14:textId="77777777" w:rsidR="00C03EC4" w:rsidRPr="002E75D4" w:rsidRDefault="00C03EC4" w:rsidP="00C03EC4">
      <w:pPr>
        <w:rPr>
          <w:rFonts w:asciiTheme="majorHAnsi" w:hAnsiTheme="majorHAnsi" w:cstheme="majorHAnsi"/>
          <w:highlight w:val="yellow"/>
        </w:rPr>
      </w:pPr>
      <w:r w:rsidRPr="002E75D4">
        <w:rPr>
          <w:rStyle w:val="Accentuation"/>
          <w:b w:val="0"/>
          <w:noProof/>
          <w:lang w:eastAsia="fr-FR"/>
        </w:rPr>
        <w:drawing>
          <wp:inline distT="0" distB="0" distL="0" distR="0" wp14:anchorId="31766713" wp14:editId="265D222A">
            <wp:extent cx="6113145" cy="2269374"/>
            <wp:effectExtent l="0" t="0" r="8255" b="17145"/>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70628A" w14:textId="77777777" w:rsidR="00C03EC4" w:rsidRPr="002E75D4" w:rsidRDefault="00C03EC4" w:rsidP="00C03EC4">
      <w:pPr>
        <w:pStyle w:val="Lgende"/>
        <w:rPr>
          <w:rFonts w:asciiTheme="majorHAnsi" w:hAnsiTheme="majorHAnsi" w:cstheme="majorHAnsi"/>
          <w:b w:val="0"/>
          <w:bCs w:val="0"/>
          <w:sz w:val="22"/>
          <w:szCs w:val="22"/>
        </w:rPr>
      </w:pPr>
      <w:r w:rsidRPr="002E75D4">
        <w:rPr>
          <w:rFonts w:asciiTheme="majorHAnsi" w:hAnsiTheme="majorHAnsi" w:cstheme="majorHAnsi"/>
          <w:b w:val="0"/>
          <w:bCs w:val="0"/>
          <w:sz w:val="22"/>
          <w:szCs w:val="22"/>
        </w:rPr>
        <w:t xml:space="preserve">                    </w:t>
      </w:r>
      <w:r w:rsidRPr="00B13E5A">
        <w:rPr>
          <w:rFonts w:asciiTheme="majorHAnsi" w:hAnsiTheme="majorHAnsi" w:cstheme="majorHAnsi"/>
          <w:bCs w:val="0"/>
          <w:sz w:val="22"/>
          <w:szCs w:val="22"/>
          <w:u w:val="single"/>
        </w:rPr>
        <w:t>Figure 13</w:t>
      </w:r>
      <w:r w:rsidRPr="002E75D4">
        <w:rPr>
          <w:rFonts w:asciiTheme="majorHAnsi" w:hAnsiTheme="majorHAnsi" w:cstheme="majorHAnsi"/>
          <w:bCs w:val="0"/>
          <w:sz w:val="22"/>
          <w:szCs w:val="22"/>
        </w:rPr>
        <w:t xml:space="preserve"> :</w:t>
      </w:r>
      <w:r w:rsidRPr="002E75D4">
        <w:rPr>
          <w:rFonts w:asciiTheme="majorHAnsi" w:hAnsiTheme="majorHAnsi" w:cstheme="majorHAnsi"/>
          <w:b w:val="0"/>
          <w:bCs w:val="0"/>
          <w:sz w:val="22"/>
          <w:szCs w:val="22"/>
        </w:rPr>
        <w:t xml:space="preserve"> Séquestrations des émissions en KT eq CO2 au niveau du secteur Foret</w:t>
      </w:r>
    </w:p>
    <w:p w14:paraId="5F811F33" w14:textId="77777777" w:rsidR="00C03EC4" w:rsidRPr="002E75D4" w:rsidRDefault="00C03EC4" w:rsidP="00C03EC4"/>
    <w:p w14:paraId="7796C3E9" w14:textId="77777777" w:rsidR="00C03EC4" w:rsidRPr="002E75D4" w:rsidRDefault="00C03EC4" w:rsidP="00C03EC4">
      <w:pPr>
        <w:shd w:val="clear" w:color="auto" w:fill="FFFFFF" w:themeFill="background1"/>
        <w:jc w:val="both"/>
        <w:rPr>
          <w:rFonts w:asciiTheme="majorHAnsi" w:hAnsiTheme="majorHAnsi" w:cstheme="majorHAnsi"/>
          <w:sz w:val="24"/>
          <w:szCs w:val="24"/>
        </w:rPr>
      </w:pPr>
      <w:r w:rsidRPr="002E75D4">
        <w:rPr>
          <w:rFonts w:asciiTheme="majorHAnsi" w:hAnsiTheme="majorHAnsi" w:cstheme="majorHAnsi"/>
          <w:sz w:val="24"/>
          <w:szCs w:val="24"/>
        </w:rPr>
        <w:t xml:space="preserve">Les prévisions d’émissions de GES en 2030 sont respectivement de </w:t>
      </w:r>
      <w:r w:rsidRPr="002E75D4">
        <w:rPr>
          <w:rFonts w:asciiTheme="majorHAnsi" w:hAnsiTheme="majorHAnsi" w:cstheme="majorHAnsi"/>
          <w:bCs/>
          <w:sz w:val="24"/>
          <w:szCs w:val="24"/>
        </w:rPr>
        <w:t>-334 001 KT</w:t>
      </w:r>
      <w:r w:rsidRPr="002E75D4">
        <w:rPr>
          <w:rFonts w:asciiTheme="majorHAnsi" w:hAnsiTheme="majorHAnsi" w:cstheme="majorHAnsi"/>
          <w:bCs/>
        </w:rPr>
        <w:t xml:space="preserve"> eq CO2</w:t>
      </w:r>
      <w:r w:rsidRPr="002E75D4">
        <w:rPr>
          <w:rFonts w:asciiTheme="majorHAnsi" w:hAnsiTheme="majorHAnsi" w:cstheme="majorHAnsi"/>
          <w:sz w:val="24"/>
          <w:szCs w:val="24"/>
        </w:rPr>
        <w:t xml:space="preserve"> pour le scénario de base et de </w:t>
      </w:r>
      <w:r w:rsidRPr="002E75D4">
        <w:rPr>
          <w:rFonts w:asciiTheme="majorHAnsi" w:hAnsiTheme="majorHAnsi" w:cstheme="majorHAnsi"/>
          <w:bCs/>
          <w:sz w:val="24"/>
        </w:rPr>
        <w:t xml:space="preserve">-463 456 </w:t>
      </w:r>
      <w:r w:rsidRPr="002E75D4">
        <w:rPr>
          <w:rFonts w:asciiTheme="majorHAnsi" w:hAnsiTheme="majorHAnsi" w:cstheme="majorHAnsi"/>
          <w:bCs/>
        </w:rPr>
        <w:t>KT eq CO2</w:t>
      </w:r>
      <w:r w:rsidRPr="002E75D4">
        <w:rPr>
          <w:rFonts w:asciiTheme="majorHAnsi" w:hAnsiTheme="majorHAnsi" w:cstheme="majorHAnsi"/>
          <w:sz w:val="24"/>
          <w:szCs w:val="24"/>
        </w:rPr>
        <w:t xml:space="preserve"> pour le scénario d’atténuation. </w:t>
      </w:r>
    </w:p>
    <w:p w14:paraId="6DE6C06C" w14:textId="77777777" w:rsidR="00C03EC4" w:rsidRPr="002E75D4" w:rsidRDefault="00C03EC4" w:rsidP="00C03EC4">
      <w:pPr>
        <w:shd w:val="clear" w:color="auto" w:fill="FFFFFF" w:themeFill="background1"/>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La mise en œuvre de différents programmes du scénario d’atténuation permettra de baisser les émissions de GES en 2030 du secteur forêts par rapport au scénario de base de 38,7% (soit 129 455 KT eq CO2).</w:t>
      </w:r>
    </w:p>
    <w:p w14:paraId="4870D5F6" w14:textId="77777777" w:rsidR="00C03EC4" w:rsidRPr="002E75D4" w:rsidRDefault="00C03EC4" w:rsidP="00C03EC4">
      <w:pPr>
        <w:spacing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Il faut remarquer que les changements d’affectation des terres ne sont pas pris en compte ici avec la forêt mais avec l’agriculture.</w:t>
      </w:r>
    </w:p>
    <w:p w14:paraId="2BCD1968" w14:textId="77777777" w:rsidR="00C03EC4" w:rsidRPr="002E75D4" w:rsidRDefault="00C03EC4" w:rsidP="00C03EC4">
      <w:pPr>
        <w:spacing w:line="240" w:lineRule="auto"/>
        <w:jc w:val="both"/>
        <w:rPr>
          <w:rFonts w:asciiTheme="majorHAnsi" w:eastAsia="Calibri" w:hAnsiTheme="majorHAnsi" w:cstheme="majorHAnsi"/>
          <w:spacing w:val="-1"/>
          <w:sz w:val="24"/>
          <w:szCs w:val="24"/>
        </w:rPr>
      </w:pPr>
      <w:r w:rsidRPr="002E75D4">
        <w:rPr>
          <w:rFonts w:asciiTheme="majorHAnsi" w:eastAsia="Calibri" w:hAnsiTheme="majorHAnsi" w:cstheme="majorHAnsi"/>
          <w:sz w:val="24"/>
          <w:szCs w:val="24"/>
        </w:rPr>
        <w:t>Les différents programmes d’atténuation (les trois Programmes REDD+ cités ci-dessus) contribueront à l’amélioration de la capacité de</w:t>
      </w:r>
      <w:r w:rsidRPr="002E75D4">
        <w:rPr>
          <w:rFonts w:asciiTheme="majorHAnsi" w:eastAsia="Calibri" w:hAnsiTheme="majorHAnsi" w:cstheme="majorHAnsi"/>
          <w:spacing w:val="24"/>
          <w:w w:val="99"/>
          <w:sz w:val="24"/>
          <w:szCs w:val="24"/>
        </w:rPr>
        <w:t xml:space="preserve"> </w:t>
      </w:r>
      <w:r w:rsidRPr="002E75D4">
        <w:rPr>
          <w:rFonts w:asciiTheme="majorHAnsi" w:eastAsia="Calibri" w:hAnsiTheme="majorHAnsi" w:cstheme="majorHAnsi"/>
          <w:sz w:val="24"/>
          <w:szCs w:val="24"/>
        </w:rPr>
        <w:t>séquestration</w:t>
      </w:r>
      <w:r w:rsidRPr="002E75D4">
        <w:rPr>
          <w:rFonts w:asciiTheme="majorHAnsi" w:eastAsia="Calibri" w:hAnsiTheme="majorHAnsi" w:cstheme="majorHAnsi"/>
          <w:spacing w:val="8"/>
          <w:sz w:val="24"/>
          <w:szCs w:val="24"/>
        </w:rPr>
        <w:t xml:space="preserve"> </w:t>
      </w:r>
      <w:r w:rsidRPr="002E75D4">
        <w:rPr>
          <w:rFonts w:asciiTheme="majorHAnsi" w:eastAsia="Calibri" w:hAnsiTheme="majorHAnsi" w:cstheme="majorHAnsi"/>
          <w:sz w:val="24"/>
          <w:szCs w:val="24"/>
        </w:rPr>
        <w:t>des</w:t>
      </w:r>
      <w:r w:rsidRPr="002E75D4">
        <w:rPr>
          <w:rFonts w:asciiTheme="majorHAnsi" w:eastAsia="Calibri" w:hAnsiTheme="majorHAnsi" w:cstheme="majorHAnsi"/>
          <w:spacing w:val="9"/>
          <w:sz w:val="24"/>
          <w:szCs w:val="24"/>
        </w:rPr>
        <w:t xml:space="preserve"> </w:t>
      </w:r>
      <w:r w:rsidRPr="002E75D4">
        <w:rPr>
          <w:rFonts w:asciiTheme="majorHAnsi" w:eastAsia="Calibri" w:hAnsiTheme="majorHAnsi" w:cstheme="majorHAnsi"/>
          <w:spacing w:val="-1"/>
          <w:sz w:val="24"/>
          <w:szCs w:val="24"/>
        </w:rPr>
        <w:t xml:space="preserve">GES ; cela va </w:t>
      </w:r>
      <w:r w:rsidRPr="002E75D4">
        <w:rPr>
          <w:rFonts w:asciiTheme="majorHAnsi" w:eastAsia="Calibri" w:hAnsiTheme="majorHAnsi" w:cstheme="majorHAnsi"/>
          <w:sz w:val="24"/>
          <w:szCs w:val="24"/>
        </w:rPr>
        <w:t>permettre au</w:t>
      </w:r>
      <w:r w:rsidRPr="002E75D4">
        <w:rPr>
          <w:rFonts w:asciiTheme="majorHAnsi" w:eastAsia="Calibri" w:hAnsiTheme="majorHAnsi" w:cstheme="majorHAnsi"/>
          <w:spacing w:val="23"/>
          <w:sz w:val="24"/>
          <w:szCs w:val="24"/>
        </w:rPr>
        <w:t xml:space="preserve"> </w:t>
      </w:r>
      <w:r w:rsidRPr="002E75D4">
        <w:rPr>
          <w:rFonts w:asciiTheme="majorHAnsi" w:eastAsia="Calibri" w:hAnsiTheme="majorHAnsi" w:cstheme="majorHAnsi"/>
          <w:sz w:val="24"/>
          <w:szCs w:val="24"/>
        </w:rPr>
        <w:t>Mali</w:t>
      </w:r>
      <w:r w:rsidRPr="002E75D4">
        <w:rPr>
          <w:rFonts w:asciiTheme="majorHAnsi" w:eastAsia="Calibri" w:hAnsiTheme="majorHAnsi" w:cstheme="majorHAnsi"/>
          <w:spacing w:val="-2"/>
          <w:sz w:val="24"/>
          <w:szCs w:val="24"/>
        </w:rPr>
        <w:t xml:space="preserve"> </w:t>
      </w:r>
      <w:r w:rsidRPr="002E75D4">
        <w:rPr>
          <w:rFonts w:asciiTheme="majorHAnsi" w:eastAsia="Calibri" w:hAnsiTheme="majorHAnsi" w:cstheme="majorHAnsi"/>
          <w:sz w:val="24"/>
          <w:szCs w:val="24"/>
        </w:rPr>
        <w:t>de renforcer son statut de « puits</w:t>
      </w:r>
      <w:r w:rsidRPr="002E75D4">
        <w:rPr>
          <w:rFonts w:asciiTheme="majorHAnsi" w:eastAsia="Calibri" w:hAnsiTheme="majorHAnsi" w:cstheme="majorHAnsi"/>
          <w:spacing w:val="-2"/>
          <w:sz w:val="24"/>
          <w:szCs w:val="24"/>
        </w:rPr>
        <w:t xml:space="preserve"> </w:t>
      </w:r>
      <w:r w:rsidRPr="002E75D4">
        <w:rPr>
          <w:rFonts w:asciiTheme="majorHAnsi" w:eastAsia="Calibri" w:hAnsiTheme="majorHAnsi" w:cstheme="majorHAnsi"/>
          <w:sz w:val="24"/>
          <w:szCs w:val="24"/>
        </w:rPr>
        <w:t>de</w:t>
      </w:r>
      <w:r w:rsidRPr="002E75D4">
        <w:rPr>
          <w:rFonts w:asciiTheme="majorHAnsi" w:eastAsia="Calibri" w:hAnsiTheme="majorHAnsi" w:cstheme="majorHAnsi"/>
          <w:spacing w:val="-3"/>
          <w:sz w:val="24"/>
          <w:szCs w:val="24"/>
        </w:rPr>
        <w:t xml:space="preserve"> </w:t>
      </w:r>
      <w:r w:rsidRPr="002E75D4">
        <w:rPr>
          <w:rFonts w:asciiTheme="majorHAnsi" w:eastAsia="Calibri" w:hAnsiTheme="majorHAnsi" w:cstheme="majorHAnsi"/>
          <w:spacing w:val="-1"/>
          <w:sz w:val="24"/>
          <w:szCs w:val="24"/>
        </w:rPr>
        <w:t>carbone » et d’améliorer sa contribution nationale dans la réduction des GES.</w:t>
      </w:r>
    </w:p>
    <w:p w14:paraId="765478DB" w14:textId="77777777" w:rsidR="00C03EC4" w:rsidRPr="002E75D4" w:rsidRDefault="00C03EC4" w:rsidP="00C03EC4">
      <w:pPr>
        <w:pStyle w:val="Default"/>
        <w:jc w:val="both"/>
        <w:rPr>
          <w:rFonts w:asciiTheme="majorHAnsi" w:hAnsiTheme="majorHAnsi" w:cstheme="majorHAnsi"/>
          <w:color w:val="auto"/>
        </w:rPr>
      </w:pPr>
      <w:r w:rsidRPr="002E75D4">
        <w:rPr>
          <w:rFonts w:asciiTheme="majorHAnsi" w:hAnsiTheme="majorHAnsi" w:cstheme="majorHAnsi"/>
          <w:color w:val="auto"/>
        </w:rPr>
        <w:t>Étant donné la participation des femmes dans les actions de déforestation à la recherche du bois de chauffe, la présente CDN va leur accorder une place de choix dans :</w:t>
      </w:r>
    </w:p>
    <w:p w14:paraId="21AD4DBD" w14:textId="77777777" w:rsidR="00C03EC4" w:rsidRPr="002E75D4" w:rsidRDefault="00C03EC4" w:rsidP="00C03EC4">
      <w:pPr>
        <w:pStyle w:val="Default"/>
        <w:numPr>
          <w:ilvl w:val="0"/>
          <w:numId w:val="42"/>
        </w:numPr>
        <w:jc w:val="both"/>
        <w:rPr>
          <w:rFonts w:asciiTheme="majorHAnsi" w:hAnsiTheme="majorHAnsi" w:cstheme="majorHAnsi"/>
          <w:color w:val="auto"/>
        </w:rPr>
      </w:pPr>
      <w:r w:rsidRPr="002E75D4">
        <w:rPr>
          <w:rFonts w:asciiTheme="majorHAnsi" w:hAnsiTheme="majorHAnsi" w:cstheme="majorHAnsi"/>
          <w:color w:val="auto"/>
        </w:rPr>
        <w:t xml:space="preserve">les actions de reboisement pour restaurer les forêts détruites ; </w:t>
      </w:r>
    </w:p>
    <w:p w14:paraId="108C1FF5" w14:textId="77777777" w:rsidR="00C03EC4" w:rsidRPr="002E75D4" w:rsidRDefault="00C03EC4" w:rsidP="00C03EC4">
      <w:pPr>
        <w:pStyle w:val="Default"/>
        <w:numPr>
          <w:ilvl w:val="0"/>
          <w:numId w:val="42"/>
        </w:numPr>
        <w:jc w:val="both"/>
        <w:rPr>
          <w:rFonts w:asciiTheme="majorHAnsi" w:hAnsiTheme="majorHAnsi" w:cstheme="majorHAnsi"/>
          <w:color w:val="auto"/>
        </w:rPr>
      </w:pPr>
      <w:r w:rsidRPr="002E75D4">
        <w:rPr>
          <w:rFonts w:asciiTheme="majorHAnsi" w:hAnsiTheme="majorHAnsi" w:cstheme="majorHAnsi"/>
          <w:color w:val="auto"/>
        </w:rPr>
        <w:t xml:space="preserve">la régénération naturelle assistée ; </w:t>
      </w:r>
    </w:p>
    <w:p w14:paraId="6AB2BABD" w14:textId="77777777" w:rsidR="00C03EC4" w:rsidRPr="002E75D4" w:rsidRDefault="00C03EC4" w:rsidP="00C03EC4">
      <w:pPr>
        <w:pStyle w:val="Default"/>
        <w:numPr>
          <w:ilvl w:val="0"/>
          <w:numId w:val="42"/>
        </w:numPr>
        <w:jc w:val="both"/>
        <w:rPr>
          <w:rFonts w:asciiTheme="majorHAnsi" w:hAnsiTheme="majorHAnsi" w:cstheme="majorHAnsi"/>
          <w:color w:val="auto"/>
        </w:rPr>
      </w:pPr>
      <w:r w:rsidRPr="002E75D4">
        <w:rPr>
          <w:rFonts w:asciiTheme="majorHAnsi" w:hAnsiTheme="majorHAnsi" w:cstheme="majorHAnsi"/>
          <w:color w:val="auto"/>
        </w:rPr>
        <w:t xml:space="preserve">la gestion des forêts classées et des aires protégées.  </w:t>
      </w:r>
    </w:p>
    <w:p w14:paraId="65B2E276" w14:textId="77777777" w:rsidR="00C03EC4" w:rsidRPr="002E75D4" w:rsidRDefault="00C03EC4" w:rsidP="00C03EC4">
      <w:pPr>
        <w:spacing w:after="0" w:line="240" w:lineRule="auto"/>
        <w:jc w:val="both"/>
        <w:rPr>
          <w:rFonts w:asciiTheme="majorHAnsi" w:eastAsia="Calibri" w:hAnsiTheme="majorHAnsi" w:cstheme="majorHAnsi"/>
          <w:spacing w:val="-1"/>
          <w:sz w:val="24"/>
          <w:szCs w:val="24"/>
        </w:rPr>
      </w:pPr>
    </w:p>
    <w:p w14:paraId="1AA6C819" w14:textId="77777777" w:rsidR="00C03EC4" w:rsidRPr="005F51BC" w:rsidRDefault="00C03EC4" w:rsidP="00C03EC4">
      <w:pPr>
        <w:shd w:val="clear" w:color="auto" w:fill="FFFFFF" w:themeFill="background1"/>
        <w:spacing w:after="0"/>
        <w:ind w:right="-472"/>
        <w:rPr>
          <w:rFonts w:cstheme="minorHAnsi"/>
          <w:sz w:val="30"/>
          <w:szCs w:val="30"/>
        </w:rPr>
      </w:pPr>
      <w:r w:rsidRPr="005F51BC">
        <w:rPr>
          <w:rFonts w:cstheme="minorHAnsi"/>
          <w:sz w:val="30"/>
          <w:szCs w:val="30"/>
        </w:rPr>
        <w:t>3.2.4 Émissions de GES dans le secteur des déchets pour la période 2020-2030</w:t>
      </w:r>
    </w:p>
    <w:p w14:paraId="0B572AE5" w14:textId="77777777" w:rsidR="00C03EC4" w:rsidRDefault="00C03EC4" w:rsidP="00C03EC4">
      <w:pPr>
        <w:pStyle w:val="Style1"/>
        <w:ind w:left="0"/>
        <w:rPr>
          <w:sz w:val="30"/>
          <w:szCs w:val="30"/>
        </w:rPr>
      </w:pPr>
    </w:p>
    <w:p w14:paraId="2A15556E" w14:textId="77777777" w:rsidR="00C03EC4" w:rsidRPr="005F51BC" w:rsidRDefault="00C03EC4" w:rsidP="00C03EC4">
      <w:pPr>
        <w:pStyle w:val="Style1"/>
        <w:ind w:left="0"/>
        <w:rPr>
          <w:sz w:val="24"/>
          <w:szCs w:val="24"/>
        </w:rPr>
      </w:pPr>
      <w:r w:rsidRPr="005F51BC">
        <w:rPr>
          <w:sz w:val="24"/>
          <w:szCs w:val="24"/>
        </w:rPr>
        <w:t>Politiques et stratégies sur lesquelles s'appuie la prospective</w:t>
      </w:r>
    </w:p>
    <w:p w14:paraId="0F7B2652" w14:textId="77777777" w:rsidR="00C03EC4" w:rsidRPr="002E75D4" w:rsidRDefault="00C03EC4" w:rsidP="00C03EC4">
      <w:pPr>
        <w:pStyle w:val="Paragraphedeliste"/>
        <w:numPr>
          <w:ilvl w:val="0"/>
          <w:numId w:val="43"/>
        </w:numPr>
        <w:spacing w:before="240"/>
        <w:jc w:val="both"/>
        <w:rPr>
          <w:rFonts w:asciiTheme="majorHAnsi" w:hAnsiTheme="majorHAnsi" w:cstheme="majorHAnsi"/>
          <w:sz w:val="24"/>
          <w:szCs w:val="24"/>
        </w:rPr>
      </w:pPr>
      <w:r w:rsidRPr="002E75D4">
        <w:rPr>
          <w:rFonts w:asciiTheme="majorHAnsi" w:hAnsiTheme="majorHAnsi" w:cstheme="majorHAnsi"/>
          <w:sz w:val="24"/>
          <w:szCs w:val="24"/>
        </w:rPr>
        <w:t>La politique et nationale de protection de l’environnement ;</w:t>
      </w:r>
    </w:p>
    <w:p w14:paraId="0279C49A" w14:textId="77777777" w:rsidR="00C03EC4" w:rsidRPr="002E75D4" w:rsidRDefault="00C03EC4" w:rsidP="00C03EC4">
      <w:pPr>
        <w:pStyle w:val="Paragraphedeliste"/>
        <w:numPr>
          <w:ilvl w:val="0"/>
          <w:numId w:val="43"/>
        </w:numPr>
        <w:jc w:val="both"/>
        <w:rPr>
          <w:rFonts w:asciiTheme="majorHAnsi" w:hAnsiTheme="majorHAnsi" w:cstheme="majorHAnsi"/>
          <w:sz w:val="24"/>
          <w:szCs w:val="24"/>
        </w:rPr>
      </w:pPr>
      <w:r w:rsidRPr="002E75D4">
        <w:rPr>
          <w:rFonts w:asciiTheme="majorHAnsi" w:hAnsiTheme="majorHAnsi" w:cstheme="majorHAnsi"/>
          <w:sz w:val="24"/>
          <w:szCs w:val="24"/>
        </w:rPr>
        <w:t>La politique nationale d’assainissement ;</w:t>
      </w:r>
    </w:p>
    <w:p w14:paraId="1477ECE3" w14:textId="77777777" w:rsidR="00C03EC4" w:rsidRPr="002E75D4" w:rsidRDefault="00C03EC4" w:rsidP="00C03EC4">
      <w:pPr>
        <w:pStyle w:val="Paragraphedeliste"/>
        <w:numPr>
          <w:ilvl w:val="0"/>
          <w:numId w:val="43"/>
        </w:numPr>
        <w:jc w:val="both"/>
        <w:rPr>
          <w:rFonts w:asciiTheme="majorHAnsi" w:hAnsiTheme="majorHAnsi" w:cstheme="majorHAnsi"/>
          <w:sz w:val="24"/>
          <w:szCs w:val="24"/>
        </w:rPr>
      </w:pPr>
      <w:r w:rsidRPr="002E75D4">
        <w:rPr>
          <w:rFonts w:asciiTheme="majorHAnsi" w:hAnsiTheme="majorHAnsi" w:cstheme="majorHAnsi"/>
          <w:sz w:val="24"/>
          <w:szCs w:val="24"/>
        </w:rPr>
        <w:t>La stratégie nationale de gestion des déchets solides ;</w:t>
      </w:r>
    </w:p>
    <w:p w14:paraId="57C788FF" w14:textId="77777777" w:rsidR="00C03EC4" w:rsidRPr="002E75D4" w:rsidRDefault="00C03EC4" w:rsidP="00C03EC4">
      <w:pPr>
        <w:pStyle w:val="Paragraphedeliste"/>
        <w:numPr>
          <w:ilvl w:val="0"/>
          <w:numId w:val="43"/>
        </w:numPr>
        <w:jc w:val="both"/>
        <w:rPr>
          <w:rFonts w:asciiTheme="majorHAnsi" w:hAnsiTheme="majorHAnsi" w:cstheme="majorHAnsi"/>
          <w:sz w:val="24"/>
          <w:szCs w:val="24"/>
        </w:rPr>
      </w:pPr>
      <w:r w:rsidRPr="002E75D4">
        <w:rPr>
          <w:rFonts w:asciiTheme="majorHAnsi" w:hAnsiTheme="majorHAnsi" w:cstheme="majorHAnsi"/>
          <w:sz w:val="24"/>
          <w:szCs w:val="24"/>
        </w:rPr>
        <w:t>La stratégie nationale de gestion des déchets liquides ;</w:t>
      </w:r>
    </w:p>
    <w:p w14:paraId="1CDF88E3" w14:textId="77777777" w:rsidR="00C03EC4" w:rsidRPr="002E75D4" w:rsidRDefault="00C03EC4" w:rsidP="00C03EC4">
      <w:pPr>
        <w:pStyle w:val="Paragraphedeliste"/>
        <w:numPr>
          <w:ilvl w:val="0"/>
          <w:numId w:val="43"/>
        </w:numPr>
        <w:jc w:val="both"/>
        <w:rPr>
          <w:rFonts w:asciiTheme="majorHAnsi" w:hAnsiTheme="majorHAnsi" w:cstheme="majorHAnsi"/>
          <w:sz w:val="24"/>
          <w:szCs w:val="24"/>
        </w:rPr>
      </w:pPr>
      <w:r w:rsidRPr="002E75D4">
        <w:rPr>
          <w:rFonts w:asciiTheme="majorHAnsi" w:hAnsiTheme="majorHAnsi" w:cstheme="majorHAnsi"/>
          <w:sz w:val="24"/>
          <w:szCs w:val="24"/>
        </w:rPr>
        <w:t>La stratégie nationale de gestion des déchets spéciaux ;</w:t>
      </w:r>
    </w:p>
    <w:p w14:paraId="469335AB" w14:textId="77777777" w:rsidR="00C03EC4" w:rsidRPr="00FC3DF0" w:rsidRDefault="00C03EC4" w:rsidP="00C03EC4">
      <w:pPr>
        <w:pStyle w:val="Paragraphedeliste"/>
        <w:numPr>
          <w:ilvl w:val="0"/>
          <w:numId w:val="43"/>
        </w:numPr>
        <w:jc w:val="both"/>
        <w:rPr>
          <w:rFonts w:asciiTheme="majorHAnsi" w:hAnsiTheme="majorHAnsi" w:cstheme="majorHAnsi"/>
          <w:sz w:val="24"/>
          <w:szCs w:val="24"/>
        </w:rPr>
      </w:pPr>
      <w:r w:rsidRPr="002E75D4">
        <w:rPr>
          <w:rFonts w:asciiTheme="majorHAnsi" w:hAnsiTheme="majorHAnsi" w:cstheme="majorHAnsi"/>
          <w:sz w:val="24"/>
          <w:szCs w:val="24"/>
        </w:rPr>
        <w:t>La stratégie nationale de gestion des eaux pluviales.</w:t>
      </w:r>
    </w:p>
    <w:p w14:paraId="187ECCB9" w14:textId="77777777" w:rsidR="00C03EC4" w:rsidRPr="002E75D4" w:rsidRDefault="00C03EC4" w:rsidP="00C03EC4">
      <w:pPr>
        <w:spacing w:after="0"/>
        <w:jc w:val="both"/>
        <w:rPr>
          <w:rFonts w:asciiTheme="majorHAnsi" w:hAnsiTheme="majorHAnsi" w:cstheme="majorHAnsi"/>
          <w:b/>
          <w:bCs/>
          <w:sz w:val="24"/>
          <w:szCs w:val="24"/>
        </w:rPr>
      </w:pPr>
      <w:r w:rsidRPr="002E75D4">
        <w:rPr>
          <w:rFonts w:asciiTheme="majorHAnsi" w:hAnsiTheme="majorHAnsi" w:cstheme="majorHAnsi"/>
          <w:b/>
          <w:bCs/>
          <w:sz w:val="24"/>
          <w:szCs w:val="24"/>
        </w:rPr>
        <w:t>Programmes et projets pris en compte dans le scénario d’atténuation :</w:t>
      </w:r>
    </w:p>
    <w:p w14:paraId="53808263" w14:textId="77777777" w:rsidR="00C03EC4" w:rsidRPr="002E75D4" w:rsidRDefault="00C03EC4" w:rsidP="00C03EC4">
      <w:pPr>
        <w:pStyle w:val="Paragraphedeliste"/>
        <w:numPr>
          <w:ilvl w:val="0"/>
          <w:numId w:val="44"/>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Réalisation d’une unité de valorisation et de transformation des déchets solides à Noumoubougou dans le cadre du projet de résilience urbaine de Bamako ;</w:t>
      </w:r>
    </w:p>
    <w:p w14:paraId="0416FE1D" w14:textId="77777777" w:rsidR="00C03EC4" w:rsidRPr="002E75D4" w:rsidRDefault="00C03EC4" w:rsidP="00C03EC4">
      <w:pPr>
        <w:pStyle w:val="Paragraphedeliste"/>
        <w:numPr>
          <w:ilvl w:val="0"/>
          <w:numId w:val="44"/>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Réalisation par la société Katura International d’une unité de transformation des déchets solides en énergie sur le site de Noumoubougou ; </w:t>
      </w:r>
    </w:p>
    <w:p w14:paraId="011F5277" w14:textId="77777777" w:rsidR="00C03EC4" w:rsidRPr="002E75D4" w:rsidRDefault="00C03EC4" w:rsidP="00C03EC4">
      <w:pPr>
        <w:pStyle w:val="Paragraphedeliste"/>
        <w:numPr>
          <w:ilvl w:val="0"/>
          <w:numId w:val="44"/>
        </w:numPr>
        <w:shd w:val="clear" w:color="auto" w:fill="FFFFFF"/>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lang w:val="fr-ML" w:eastAsia="fr-ML"/>
        </w:rPr>
        <w:t>Projet Oxalor-Pyrocox</w:t>
      </w:r>
      <w:r w:rsidRPr="002E75D4">
        <w:rPr>
          <w:rFonts w:asciiTheme="majorHAnsi" w:hAnsiTheme="majorHAnsi" w:cstheme="majorHAnsi"/>
          <w:sz w:val="24"/>
          <w:szCs w:val="24"/>
          <w:u w:val="single"/>
          <w:lang w:val="fr-ML" w:eastAsia="fr-ML"/>
        </w:rPr>
        <w:t xml:space="preserve"> : </w:t>
      </w:r>
      <w:r w:rsidRPr="002E75D4">
        <w:rPr>
          <w:rFonts w:asciiTheme="majorHAnsi" w:hAnsiTheme="majorHAnsi" w:cstheme="majorHAnsi"/>
          <w:sz w:val="24"/>
          <w:szCs w:val="24"/>
        </w:rPr>
        <w:t>Projet de gestion intégrée des déchets solides ménagers dans les six communes du district de Bamako et</w:t>
      </w:r>
      <w:r w:rsidRPr="002E75D4">
        <w:rPr>
          <w:rFonts w:asciiTheme="majorHAnsi" w:hAnsiTheme="majorHAnsi" w:cstheme="majorHAnsi"/>
          <w:sz w:val="24"/>
          <w:szCs w:val="24"/>
          <w:shd w:val="clear" w:color="auto" w:fill="FFFFFF"/>
        </w:rPr>
        <w:t xml:space="preserve"> dans certaines régions du Mali : Sikasso, Ségou, Kayes et Mopti</w:t>
      </w:r>
      <w:r w:rsidRPr="002E75D4">
        <w:rPr>
          <w:rFonts w:asciiTheme="majorHAnsi" w:hAnsiTheme="majorHAnsi" w:cstheme="majorHAnsi"/>
          <w:sz w:val="24"/>
          <w:szCs w:val="24"/>
        </w:rPr>
        <w:t xml:space="preserve">; </w:t>
      </w:r>
    </w:p>
    <w:p w14:paraId="29AB4DFD" w14:textId="77777777" w:rsidR="00C03EC4" w:rsidRPr="002E75D4" w:rsidRDefault="00C03EC4" w:rsidP="00C03EC4">
      <w:pPr>
        <w:pStyle w:val="Paragraphedeliste"/>
        <w:numPr>
          <w:ilvl w:val="0"/>
          <w:numId w:val="44"/>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Projet de recyclage des déchets plastiques dans la ville de Bamako au niveau industriel (Société SIGMA - Mamaplastico ) ;</w:t>
      </w:r>
    </w:p>
    <w:p w14:paraId="2BDBA393" w14:textId="77777777" w:rsidR="00C03EC4" w:rsidRPr="002E75D4" w:rsidRDefault="00C03EC4" w:rsidP="00C03EC4">
      <w:pPr>
        <w:pStyle w:val="Paragraphedeliste"/>
        <w:numPr>
          <w:ilvl w:val="0"/>
          <w:numId w:val="44"/>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Projet de valorisation et de transformation des déchets plastiques en Commune V du District de Bamako par la fondation stromme (Mairie de la commune V) ;</w:t>
      </w:r>
    </w:p>
    <w:p w14:paraId="241F1A61" w14:textId="77777777" w:rsidR="00C03EC4" w:rsidRPr="002E75D4" w:rsidRDefault="00C03EC4" w:rsidP="00C03EC4">
      <w:pPr>
        <w:pStyle w:val="Paragraphedeliste"/>
        <w:numPr>
          <w:ilvl w:val="0"/>
          <w:numId w:val="44"/>
        </w:numPr>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Projet de valorisation des pneus usagers par PSI MALI à GAO (Mairie de GAO).</w:t>
      </w:r>
    </w:p>
    <w:p w14:paraId="5843C082" w14:textId="77777777" w:rsidR="00C03EC4" w:rsidRPr="002E75D4" w:rsidRDefault="00C03EC4" w:rsidP="00C03EC4">
      <w:pPr>
        <w:pStyle w:val="Paragraphedeliste"/>
        <w:numPr>
          <w:ilvl w:val="0"/>
          <w:numId w:val="45"/>
        </w:numPr>
        <w:spacing w:before="120" w:after="0"/>
        <w:jc w:val="both"/>
        <w:rPr>
          <w:rFonts w:asciiTheme="majorHAnsi" w:hAnsiTheme="majorHAnsi" w:cstheme="majorHAnsi"/>
          <w:sz w:val="24"/>
          <w:szCs w:val="24"/>
        </w:rPr>
      </w:pPr>
      <w:r w:rsidRPr="002E75D4">
        <w:rPr>
          <w:rFonts w:asciiTheme="majorHAnsi" w:hAnsiTheme="majorHAnsi" w:cstheme="majorHAnsi"/>
          <w:sz w:val="24"/>
          <w:szCs w:val="24"/>
        </w:rPr>
        <w:t xml:space="preserve">Programme d’assainissement des villes de Kayes, Koulikoro, Ségou, Mopti, Bougouni, Kita et Koutiala pour l’installation d’une usine de Thermo compactage pour la valorisation des déchets. </w:t>
      </w:r>
    </w:p>
    <w:p w14:paraId="3A3D2570" w14:textId="77777777" w:rsidR="00C03EC4" w:rsidRPr="005F51BC" w:rsidRDefault="00C03EC4" w:rsidP="00C03EC4">
      <w:pPr>
        <w:pStyle w:val="Style1"/>
        <w:ind w:left="0"/>
        <w:rPr>
          <w:sz w:val="24"/>
          <w:szCs w:val="24"/>
        </w:rPr>
      </w:pPr>
      <w:r w:rsidRPr="005F51BC">
        <w:rPr>
          <w:sz w:val="24"/>
          <w:szCs w:val="24"/>
        </w:rPr>
        <w:t>Prévision des émissions de GES sur la période 2020 – 2030</w:t>
      </w:r>
    </w:p>
    <w:p w14:paraId="56D2128D" w14:textId="77777777" w:rsidR="00C03EC4" w:rsidRPr="002E75D4" w:rsidRDefault="00C03EC4" w:rsidP="00C03EC4">
      <w:pPr>
        <w:spacing w:after="0" w:line="240" w:lineRule="auto"/>
        <w:jc w:val="both"/>
        <w:rPr>
          <w:rFonts w:asciiTheme="majorHAnsi" w:hAnsiTheme="majorHAnsi" w:cstheme="majorHAnsi"/>
          <w:sz w:val="10"/>
          <w:szCs w:val="24"/>
        </w:rPr>
      </w:pPr>
    </w:p>
    <w:p w14:paraId="541E9565"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prévisions se basent sur la mise en œuvre des stratégies et programmes identifiés. </w:t>
      </w:r>
    </w:p>
    <w:p w14:paraId="34562C4B"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taux de croissance des émissions est de </w:t>
      </w:r>
      <w:r w:rsidRPr="002E75D4">
        <w:rPr>
          <w:rFonts w:asciiTheme="majorHAnsi" w:hAnsiTheme="majorHAnsi" w:cstheme="majorHAnsi"/>
          <w:bCs/>
          <w:sz w:val="24"/>
          <w:szCs w:val="24"/>
        </w:rPr>
        <w:t>16%</w:t>
      </w:r>
      <w:r w:rsidRPr="002E75D4">
        <w:rPr>
          <w:rFonts w:asciiTheme="majorHAnsi" w:hAnsiTheme="majorHAnsi" w:cstheme="majorHAnsi"/>
          <w:sz w:val="24"/>
          <w:szCs w:val="24"/>
        </w:rPr>
        <w:t xml:space="preserve"> pour le scénario de base et </w:t>
      </w:r>
      <w:r w:rsidRPr="002E75D4">
        <w:rPr>
          <w:rFonts w:asciiTheme="majorHAnsi" w:hAnsiTheme="majorHAnsi" w:cstheme="majorHAnsi"/>
          <w:bCs/>
          <w:sz w:val="24"/>
          <w:szCs w:val="24"/>
        </w:rPr>
        <w:t>7.4%</w:t>
      </w:r>
      <w:r w:rsidRPr="002E75D4">
        <w:rPr>
          <w:rFonts w:asciiTheme="majorHAnsi" w:hAnsiTheme="majorHAnsi" w:cstheme="majorHAnsi"/>
          <w:sz w:val="24"/>
          <w:szCs w:val="24"/>
        </w:rPr>
        <w:t xml:space="preserve"> pour le scénario d’atténuation </w:t>
      </w:r>
    </w:p>
    <w:p w14:paraId="68EE0299" w14:textId="77777777" w:rsidR="00C03EC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tableau ci-après récapitule les émissions en </w:t>
      </w:r>
      <w:r w:rsidRPr="002E75D4">
        <w:rPr>
          <w:rFonts w:asciiTheme="majorHAnsi" w:hAnsiTheme="majorHAnsi" w:cstheme="majorHAnsi"/>
          <w:bCs/>
          <w:sz w:val="24"/>
          <w:szCs w:val="24"/>
        </w:rPr>
        <w:t>KT eqCO2</w:t>
      </w:r>
      <w:r w:rsidRPr="002E75D4">
        <w:rPr>
          <w:rFonts w:asciiTheme="majorHAnsi" w:hAnsiTheme="majorHAnsi" w:cstheme="majorHAnsi"/>
          <w:sz w:val="24"/>
          <w:szCs w:val="24"/>
        </w:rPr>
        <w:t xml:space="preserve"> et par an au niveau du secteur des déchets.</w:t>
      </w:r>
    </w:p>
    <w:p w14:paraId="0DE6A11E" w14:textId="77777777" w:rsidR="00C03EC4" w:rsidRPr="002E75D4" w:rsidRDefault="00C03EC4" w:rsidP="00C03EC4">
      <w:pPr>
        <w:pStyle w:val="Lgende"/>
        <w:rPr>
          <w:rFonts w:asciiTheme="majorHAnsi" w:hAnsiTheme="majorHAnsi" w:cstheme="majorHAnsi"/>
          <w:b w:val="0"/>
          <w:bCs w:val="0"/>
          <w:sz w:val="24"/>
          <w:szCs w:val="24"/>
        </w:rPr>
      </w:pPr>
      <w:r w:rsidRPr="00B13E5A">
        <w:rPr>
          <w:rFonts w:asciiTheme="majorHAnsi" w:hAnsiTheme="majorHAnsi" w:cstheme="majorHAnsi"/>
          <w:sz w:val="24"/>
          <w:szCs w:val="24"/>
          <w:u w:val="single"/>
        </w:rPr>
        <w:t>Tableau 16</w:t>
      </w:r>
      <w:r w:rsidRPr="002E75D4">
        <w:rPr>
          <w:rFonts w:asciiTheme="majorHAnsi" w:hAnsiTheme="majorHAnsi" w:cstheme="majorHAnsi"/>
          <w:bCs w:val="0"/>
          <w:sz w:val="24"/>
          <w:szCs w:val="24"/>
        </w:rPr>
        <w:t xml:space="preserve"> :</w:t>
      </w:r>
      <w:r w:rsidRPr="002E75D4">
        <w:rPr>
          <w:rFonts w:asciiTheme="majorHAnsi" w:hAnsiTheme="majorHAnsi" w:cstheme="majorHAnsi"/>
          <w:b w:val="0"/>
          <w:bCs w:val="0"/>
          <w:sz w:val="24"/>
          <w:szCs w:val="24"/>
        </w:rPr>
        <w:t xml:space="preserve"> Prévision des émissions en </w:t>
      </w:r>
      <w:r w:rsidRPr="002E75D4">
        <w:rPr>
          <w:rFonts w:asciiTheme="majorHAnsi" w:hAnsiTheme="majorHAnsi" w:cstheme="majorHAnsi"/>
          <w:b w:val="0"/>
          <w:sz w:val="24"/>
          <w:szCs w:val="24"/>
        </w:rPr>
        <w:t>KT eq CO2</w:t>
      </w:r>
      <w:r w:rsidRPr="002E75D4">
        <w:rPr>
          <w:rFonts w:asciiTheme="majorHAnsi" w:hAnsiTheme="majorHAnsi" w:cstheme="majorHAnsi"/>
          <w:b w:val="0"/>
          <w:bCs w:val="0"/>
          <w:sz w:val="24"/>
          <w:szCs w:val="24"/>
        </w:rPr>
        <w:t xml:space="preserve"> (scénarios de base et d’atténuation)</w:t>
      </w:r>
    </w:p>
    <w:p w14:paraId="63BFC733" w14:textId="77777777" w:rsidR="00C03EC4" w:rsidRPr="002E75D4" w:rsidRDefault="00C03EC4" w:rsidP="00C03EC4">
      <w:pPr>
        <w:spacing w:after="0" w:line="240" w:lineRule="auto"/>
        <w:jc w:val="both"/>
        <w:rPr>
          <w:rFonts w:asciiTheme="majorHAnsi" w:hAnsiTheme="majorHAnsi" w:cstheme="majorHAnsi"/>
          <w:sz w:val="20"/>
        </w:rPr>
      </w:pPr>
    </w:p>
    <w:tbl>
      <w:tblPr>
        <w:tblStyle w:val="Grillemoyenne3-Accent1"/>
        <w:tblW w:w="5000" w:type="pct"/>
        <w:tblLook w:val="0420" w:firstRow="1" w:lastRow="0" w:firstColumn="0" w:lastColumn="0" w:noHBand="0" w:noVBand="1"/>
      </w:tblPr>
      <w:tblGrid>
        <w:gridCol w:w="1882"/>
        <w:gridCol w:w="3626"/>
        <w:gridCol w:w="4111"/>
      </w:tblGrid>
      <w:tr w:rsidR="00C03EC4" w:rsidRPr="002E75D4" w14:paraId="072DA36B" w14:textId="77777777" w:rsidTr="000D6136">
        <w:trPr>
          <w:cnfStyle w:val="100000000000" w:firstRow="1" w:lastRow="0" w:firstColumn="0" w:lastColumn="0" w:oddVBand="0" w:evenVBand="0" w:oddHBand="0" w:evenHBand="0" w:firstRowFirstColumn="0" w:firstRowLastColumn="0" w:lastRowFirstColumn="0" w:lastRowLastColumn="0"/>
          <w:trHeight w:val="476"/>
        </w:trPr>
        <w:tc>
          <w:tcPr>
            <w:tcW w:w="978" w:type="pct"/>
            <w:shd w:val="clear" w:color="auto" w:fill="C00000"/>
            <w:hideMark/>
          </w:tcPr>
          <w:p w14:paraId="4F49DE6C" w14:textId="77777777" w:rsidR="00C03EC4" w:rsidRPr="002E75D4" w:rsidRDefault="00C03EC4" w:rsidP="000D6136">
            <w:pPr>
              <w:rPr>
                <w:rFonts w:asciiTheme="majorHAnsi" w:hAnsiTheme="majorHAnsi" w:cstheme="majorHAnsi"/>
                <w:color w:val="auto"/>
                <w:sz w:val="24"/>
                <w:szCs w:val="24"/>
              </w:rPr>
            </w:pPr>
            <w:r w:rsidRPr="002E75D4">
              <w:rPr>
                <w:rFonts w:asciiTheme="majorHAnsi" w:hAnsiTheme="majorHAnsi" w:cstheme="majorHAnsi"/>
                <w:color w:val="auto"/>
                <w:sz w:val="24"/>
                <w:szCs w:val="24"/>
              </w:rPr>
              <w:t>Années</w:t>
            </w:r>
          </w:p>
        </w:tc>
        <w:tc>
          <w:tcPr>
            <w:tcW w:w="1885" w:type="pct"/>
            <w:shd w:val="clear" w:color="auto" w:fill="002060"/>
            <w:hideMark/>
          </w:tcPr>
          <w:p w14:paraId="5FE6A87A" w14:textId="77777777" w:rsidR="00C03EC4" w:rsidRPr="002E75D4" w:rsidRDefault="00C03EC4" w:rsidP="000D6136">
            <w:pPr>
              <w:rPr>
                <w:rFonts w:asciiTheme="majorHAnsi" w:hAnsiTheme="majorHAnsi" w:cstheme="majorHAnsi"/>
                <w:color w:val="auto"/>
                <w:sz w:val="24"/>
                <w:szCs w:val="24"/>
              </w:rPr>
            </w:pPr>
            <w:r w:rsidRPr="002E75D4">
              <w:rPr>
                <w:rFonts w:asciiTheme="majorHAnsi" w:hAnsiTheme="majorHAnsi" w:cstheme="majorHAnsi"/>
                <w:color w:val="auto"/>
                <w:sz w:val="24"/>
                <w:szCs w:val="24"/>
              </w:rPr>
              <w:t>Scénario de base</w:t>
            </w:r>
          </w:p>
        </w:tc>
        <w:tc>
          <w:tcPr>
            <w:tcW w:w="2137" w:type="pct"/>
            <w:shd w:val="clear" w:color="auto" w:fill="BF8F00" w:themeFill="accent4" w:themeFillShade="BF"/>
            <w:hideMark/>
          </w:tcPr>
          <w:p w14:paraId="2EDA48F5" w14:textId="77777777" w:rsidR="00C03EC4" w:rsidRPr="002E75D4" w:rsidRDefault="00C03EC4" w:rsidP="000D6136">
            <w:pPr>
              <w:rPr>
                <w:rFonts w:asciiTheme="majorHAnsi" w:hAnsiTheme="majorHAnsi" w:cstheme="majorHAnsi"/>
                <w:color w:val="auto"/>
                <w:sz w:val="24"/>
                <w:szCs w:val="24"/>
              </w:rPr>
            </w:pPr>
            <w:r w:rsidRPr="002E75D4">
              <w:rPr>
                <w:rFonts w:asciiTheme="majorHAnsi" w:hAnsiTheme="majorHAnsi" w:cstheme="majorHAnsi"/>
                <w:color w:val="auto"/>
                <w:sz w:val="24"/>
                <w:szCs w:val="24"/>
              </w:rPr>
              <w:t>Scénario d'atténuation</w:t>
            </w:r>
          </w:p>
        </w:tc>
      </w:tr>
      <w:tr w:rsidR="00C03EC4" w:rsidRPr="002E75D4" w14:paraId="41596361" w14:textId="77777777" w:rsidTr="000D6136">
        <w:trPr>
          <w:cnfStyle w:val="000000100000" w:firstRow="0" w:lastRow="0" w:firstColumn="0" w:lastColumn="0" w:oddVBand="0" w:evenVBand="0" w:oddHBand="1" w:evenHBand="0" w:firstRowFirstColumn="0" w:firstRowLastColumn="0" w:lastRowFirstColumn="0" w:lastRowLastColumn="0"/>
          <w:trHeight w:val="315"/>
        </w:trPr>
        <w:tc>
          <w:tcPr>
            <w:tcW w:w="978" w:type="pct"/>
            <w:shd w:val="clear" w:color="auto" w:fill="FFE1E1"/>
            <w:hideMark/>
          </w:tcPr>
          <w:p w14:paraId="7CE2ED20"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2020</w:t>
            </w:r>
          </w:p>
        </w:tc>
        <w:tc>
          <w:tcPr>
            <w:tcW w:w="1885" w:type="pct"/>
            <w:noWrap/>
            <w:hideMark/>
          </w:tcPr>
          <w:p w14:paraId="28AFD9BD"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506</w:t>
            </w:r>
          </w:p>
        </w:tc>
        <w:tc>
          <w:tcPr>
            <w:tcW w:w="2137" w:type="pct"/>
            <w:shd w:val="clear" w:color="auto" w:fill="FFE599" w:themeFill="accent4" w:themeFillTint="66"/>
            <w:noWrap/>
            <w:hideMark/>
          </w:tcPr>
          <w:p w14:paraId="7D40FDE6"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506</w:t>
            </w:r>
          </w:p>
        </w:tc>
      </w:tr>
      <w:tr w:rsidR="00C03EC4" w:rsidRPr="002E75D4" w14:paraId="08106D68" w14:textId="77777777" w:rsidTr="000D6136">
        <w:trPr>
          <w:trHeight w:val="315"/>
        </w:trPr>
        <w:tc>
          <w:tcPr>
            <w:tcW w:w="978" w:type="pct"/>
            <w:shd w:val="clear" w:color="auto" w:fill="FFF3F3"/>
            <w:hideMark/>
          </w:tcPr>
          <w:p w14:paraId="1D465FC6"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2021</w:t>
            </w:r>
          </w:p>
        </w:tc>
        <w:tc>
          <w:tcPr>
            <w:tcW w:w="1885" w:type="pct"/>
            <w:noWrap/>
            <w:hideMark/>
          </w:tcPr>
          <w:p w14:paraId="2FD4F91C"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587</w:t>
            </w:r>
          </w:p>
        </w:tc>
        <w:tc>
          <w:tcPr>
            <w:tcW w:w="2137" w:type="pct"/>
            <w:shd w:val="clear" w:color="auto" w:fill="FFF2CC" w:themeFill="accent4" w:themeFillTint="33"/>
            <w:noWrap/>
            <w:hideMark/>
          </w:tcPr>
          <w:p w14:paraId="18657A45"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470</w:t>
            </w:r>
          </w:p>
        </w:tc>
      </w:tr>
      <w:tr w:rsidR="00C03EC4" w:rsidRPr="002E75D4" w14:paraId="7D2ED304" w14:textId="77777777" w:rsidTr="000D6136">
        <w:trPr>
          <w:cnfStyle w:val="000000100000" w:firstRow="0" w:lastRow="0" w:firstColumn="0" w:lastColumn="0" w:oddVBand="0" w:evenVBand="0" w:oddHBand="1" w:evenHBand="0" w:firstRowFirstColumn="0" w:firstRowLastColumn="0" w:lastRowFirstColumn="0" w:lastRowLastColumn="0"/>
          <w:trHeight w:val="315"/>
        </w:trPr>
        <w:tc>
          <w:tcPr>
            <w:tcW w:w="978" w:type="pct"/>
            <w:shd w:val="clear" w:color="auto" w:fill="FFE1E1"/>
            <w:hideMark/>
          </w:tcPr>
          <w:p w14:paraId="7941D511"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2024</w:t>
            </w:r>
          </w:p>
        </w:tc>
        <w:tc>
          <w:tcPr>
            <w:tcW w:w="1885" w:type="pct"/>
            <w:noWrap/>
            <w:hideMark/>
          </w:tcPr>
          <w:p w14:paraId="6D97E668"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916</w:t>
            </w:r>
          </w:p>
        </w:tc>
        <w:tc>
          <w:tcPr>
            <w:tcW w:w="2137" w:type="pct"/>
            <w:shd w:val="clear" w:color="auto" w:fill="FFE599" w:themeFill="accent4" w:themeFillTint="66"/>
            <w:noWrap/>
            <w:hideMark/>
          </w:tcPr>
          <w:p w14:paraId="776F2016"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671</w:t>
            </w:r>
          </w:p>
        </w:tc>
      </w:tr>
      <w:tr w:rsidR="00C03EC4" w:rsidRPr="002E75D4" w14:paraId="42634FA1" w14:textId="77777777" w:rsidTr="000D6136">
        <w:trPr>
          <w:trHeight w:val="315"/>
        </w:trPr>
        <w:tc>
          <w:tcPr>
            <w:tcW w:w="978" w:type="pct"/>
            <w:shd w:val="clear" w:color="auto" w:fill="FFF3F3"/>
            <w:hideMark/>
          </w:tcPr>
          <w:p w14:paraId="0862375E"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2027</w:t>
            </w:r>
          </w:p>
        </w:tc>
        <w:tc>
          <w:tcPr>
            <w:tcW w:w="1885" w:type="pct"/>
            <w:noWrap/>
            <w:hideMark/>
          </w:tcPr>
          <w:p w14:paraId="3AF2CED1"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1 430</w:t>
            </w:r>
          </w:p>
        </w:tc>
        <w:tc>
          <w:tcPr>
            <w:tcW w:w="2137" w:type="pct"/>
            <w:shd w:val="clear" w:color="auto" w:fill="FFF2CC" w:themeFill="accent4" w:themeFillTint="33"/>
            <w:noWrap/>
            <w:hideMark/>
          </w:tcPr>
          <w:p w14:paraId="0FF4EE36"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986</w:t>
            </w:r>
          </w:p>
        </w:tc>
      </w:tr>
      <w:tr w:rsidR="00C03EC4" w:rsidRPr="002E75D4" w14:paraId="377330C0" w14:textId="77777777" w:rsidTr="000D6136">
        <w:trPr>
          <w:cnfStyle w:val="000000100000" w:firstRow="0" w:lastRow="0" w:firstColumn="0" w:lastColumn="0" w:oddVBand="0" w:evenVBand="0" w:oddHBand="1" w:evenHBand="0" w:firstRowFirstColumn="0" w:firstRowLastColumn="0" w:lastRowFirstColumn="0" w:lastRowLastColumn="0"/>
          <w:trHeight w:val="315"/>
        </w:trPr>
        <w:tc>
          <w:tcPr>
            <w:tcW w:w="978" w:type="pct"/>
            <w:shd w:val="clear" w:color="auto" w:fill="FFE1E1"/>
            <w:hideMark/>
          </w:tcPr>
          <w:p w14:paraId="76F2AE4C"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2030</w:t>
            </w:r>
          </w:p>
        </w:tc>
        <w:tc>
          <w:tcPr>
            <w:tcW w:w="1885" w:type="pct"/>
            <w:noWrap/>
            <w:hideMark/>
          </w:tcPr>
          <w:p w14:paraId="57159F81"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2 232</w:t>
            </w:r>
          </w:p>
        </w:tc>
        <w:tc>
          <w:tcPr>
            <w:tcW w:w="2137" w:type="pct"/>
            <w:shd w:val="clear" w:color="auto" w:fill="FFE599" w:themeFill="accent4" w:themeFillTint="66"/>
            <w:noWrap/>
            <w:hideMark/>
          </w:tcPr>
          <w:p w14:paraId="7395087A" w14:textId="77777777" w:rsidR="00C03EC4" w:rsidRPr="002E75D4" w:rsidRDefault="00C03EC4" w:rsidP="000D6136">
            <w:pPr>
              <w:spacing w:after="120"/>
              <w:rPr>
                <w:rFonts w:asciiTheme="majorHAnsi" w:hAnsiTheme="majorHAnsi" w:cstheme="majorHAnsi"/>
                <w:sz w:val="24"/>
                <w:szCs w:val="24"/>
              </w:rPr>
            </w:pPr>
            <w:r w:rsidRPr="002E75D4">
              <w:rPr>
                <w:rFonts w:asciiTheme="majorHAnsi" w:hAnsiTheme="majorHAnsi" w:cstheme="majorHAnsi"/>
                <w:sz w:val="24"/>
                <w:szCs w:val="24"/>
              </w:rPr>
              <w:t>1 539</w:t>
            </w:r>
          </w:p>
        </w:tc>
      </w:tr>
    </w:tbl>
    <w:p w14:paraId="5921F61D" w14:textId="77777777" w:rsidR="00C03EC4" w:rsidRPr="002E75D4" w:rsidRDefault="00C03EC4" w:rsidP="00C03EC4">
      <w:pPr>
        <w:spacing w:after="0"/>
        <w:jc w:val="both"/>
        <w:rPr>
          <w:rFonts w:asciiTheme="majorHAnsi" w:hAnsiTheme="majorHAnsi" w:cstheme="majorHAnsi"/>
          <w:sz w:val="24"/>
          <w:szCs w:val="24"/>
        </w:rPr>
      </w:pPr>
    </w:p>
    <w:p w14:paraId="06EB9180" w14:textId="77777777" w:rsidR="00C03EC4" w:rsidRPr="002E75D4" w:rsidRDefault="00C03EC4" w:rsidP="00C03EC4">
      <w:pPr>
        <w:jc w:val="both"/>
        <w:rPr>
          <w:rFonts w:asciiTheme="majorHAnsi" w:hAnsiTheme="majorHAnsi" w:cstheme="majorHAnsi"/>
          <w:spacing w:val="-1"/>
        </w:rPr>
      </w:pPr>
      <w:r w:rsidRPr="002E75D4">
        <w:rPr>
          <w:rFonts w:asciiTheme="majorHAnsi" w:hAnsiTheme="majorHAnsi" w:cstheme="majorHAnsi"/>
          <w:spacing w:val="-1"/>
        </w:rPr>
        <w:t xml:space="preserve">La figure </w:t>
      </w:r>
      <w:r w:rsidRPr="002E75D4">
        <w:rPr>
          <w:rFonts w:asciiTheme="majorHAnsi" w:hAnsiTheme="majorHAnsi" w:cstheme="majorHAnsi"/>
        </w:rPr>
        <w:t>14 ci-après résume les évolutions des émissions</w:t>
      </w:r>
      <w:r w:rsidRPr="002E75D4">
        <w:rPr>
          <w:rFonts w:asciiTheme="majorHAnsi" w:hAnsiTheme="majorHAnsi" w:cstheme="majorHAnsi"/>
          <w:spacing w:val="-1"/>
        </w:rPr>
        <w:t xml:space="preserve"> </w:t>
      </w:r>
      <w:r w:rsidRPr="002E75D4">
        <w:rPr>
          <w:rFonts w:asciiTheme="majorHAnsi" w:hAnsiTheme="majorHAnsi" w:cstheme="majorHAnsi"/>
        </w:rPr>
        <w:t>de GES du secteur déchets sur la période 2020 – 2030 scenario de base et scénario d’atténuation</w:t>
      </w:r>
    </w:p>
    <w:p w14:paraId="1639A29C" w14:textId="77777777" w:rsidR="00C03EC4" w:rsidRPr="002E75D4" w:rsidRDefault="00C03EC4" w:rsidP="00C03EC4">
      <w:pPr>
        <w:spacing w:after="0"/>
        <w:jc w:val="both"/>
        <w:rPr>
          <w:rFonts w:asciiTheme="majorHAnsi" w:hAnsiTheme="majorHAnsi" w:cstheme="majorHAnsi"/>
          <w:sz w:val="24"/>
          <w:szCs w:val="24"/>
        </w:rPr>
      </w:pPr>
    </w:p>
    <w:p w14:paraId="3C1FFC9C" w14:textId="77777777" w:rsidR="00C03EC4" w:rsidRPr="002E75D4" w:rsidRDefault="00C03EC4" w:rsidP="00C03EC4">
      <w:pPr>
        <w:jc w:val="both"/>
        <w:rPr>
          <w:rFonts w:asciiTheme="majorHAnsi" w:hAnsiTheme="majorHAnsi" w:cstheme="majorHAnsi"/>
          <w:sz w:val="24"/>
          <w:szCs w:val="24"/>
          <w:highlight w:val="yellow"/>
        </w:rPr>
      </w:pPr>
      <w:r w:rsidRPr="002E75D4">
        <w:rPr>
          <w:rFonts w:asciiTheme="majorHAnsi" w:hAnsiTheme="majorHAnsi" w:cstheme="majorHAnsi"/>
          <w:noProof/>
          <w:sz w:val="24"/>
          <w:szCs w:val="24"/>
          <w:lang w:eastAsia="fr-FR"/>
        </w:rPr>
        <w:drawing>
          <wp:inline distT="0" distB="0" distL="0" distR="0" wp14:anchorId="5DF46C10" wp14:editId="04E2949B">
            <wp:extent cx="6113172" cy="2863403"/>
            <wp:effectExtent l="0" t="0" r="20955" b="1333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2AC085" w14:textId="77777777" w:rsidR="00C03EC4" w:rsidRPr="002E75D4" w:rsidRDefault="00C03EC4" w:rsidP="00C03EC4">
      <w:pPr>
        <w:pStyle w:val="Lgende"/>
        <w:ind w:right="-342"/>
        <w:rPr>
          <w:rFonts w:asciiTheme="majorHAnsi" w:hAnsiTheme="majorHAnsi" w:cstheme="majorHAnsi"/>
          <w:b w:val="0"/>
          <w:bCs w:val="0"/>
          <w:sz w:val="22"/>
          <w:szCs w:val="22"/>
        </w:rPr>
      </w:pPr>
      <w:r w:rsidRPr="00B13E5A">
        <w:rPr>
          <w:rFonts w:asciiTheme="majorHAnsi" w:hAnsiTheme="majorHAnsi" w:cstheme="majorHAnsi"/>
          <w:bCs w:val="0"/>
          <w:sz w:val="22"/>
          <w:szCs w:val="22"/>
          <w:u w:val="single"/>
        </w:rPr>
        <w:t>Figure 14</w:t>
      </w:r>
      <w:r w:rsidRPr="002E75D4">
        <w:rPr>
          <w:rFonts w:asciiTheme="majorHAnsi" w:hAnsiTheme="majorHAnsi" w:cstheme="majorHAnsi"/>
          <w:bCs w:val="0"/>
          <w:sz w:val="22"/>
          <w:szCs w:val="22"/>
        </w:rPr>
        <w:t xml:space="preserve"> :</w:t>
      </w:r>
      <w:r w:rsidRPr="002E75D4">
        <w:rPr>
          <w:rFonts w:asciiTheme="majorHAnsi" w:hAnsiTheme="majorHAnsi" w:cstheme="majorHAnsi"/>
          <w:b w:val="0"/>
          <w:bCs w:val="0"/>
          <w:sz w:val="22"/>
          <w:szCs w:val="22"/>
        </w:rPr>
        <w:t xml:space="preserve"> Émissions de GES du secteur déchets sur la période 2020 – 2030 scenario de base et scénario d’atténuation </w:t>
      </w:r>
    </w:p>
    <w:p w14:paraId="2D286B9C" w14:textId="77777777" w:rsidR="00C03EC4" w:rsidRPr="002E75D4" w:rsidRDefault="00C03EC4" w:rsidP="00C03EC4">
      <w:pPr>
        <w:spacing w:after="0" w:line="240" w:lineRule="auto"/>
        <w:jc w:val="both"/>
        <w:rPr>
          <w:rFonts w:asciiTheme="majorHAnsi" w:hAnsiTheme="majorHAnsi" w:cstheme="majorHAnsi"/>
        </w:rPr>
      </w:pPr>
    </w:p>
    <w:p w14:paraId="02B5097B" w14:textId="77777777" w:rsidR="00C03EC4" w:rsidRPr="002E75D4" w:rsidRDefault="00C03EC4" w:rsidP="00C03EC4">
      <w:pPr>
        <w:shd w:val="clear" w:color="auto" w:fill="FFFFFF" w:themeFill="background1"/>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prévisions d’émissions de GES pour l’année 2030 sont respectivement de </w:t>
      </w:r>
      <w:r w:rsidRPr="002E75D4">
        <w:rPr>
          <w:rFonts w:asciiTheme="majorHAnsi" w:hAnsiTheme="majorHAnsi" w:cstheme="majorHAnsi"/>
          <w:bCs/>
          <w:sz w:val="24"/>
          <w:szCs w:val="24"/>
        </w:rPr>
        <w:t>2 232 KT eq CO2</w:t>
      </w:r>
      <w:r w:rsidRPr="002E75D4">
        <w:rPr>
          <w:rFonts w:asciiTheme="majorHAnsi" w:hAnsiTheme="majorHAnsi" w:cstheme="majorHAnsi"/>
          <w:sz w:val="24"/>
          <w:szCs w:val="24"/>
        </w:rPr>
        <w:t xml:space="preserve"> pour le scénario de base et de </w:t>
      </w:r>
      <w:r w:rsidRPr="002E75D4">
        <w:rPr>
          <w:rFonts w:asciiTheme="majorHAnsi" w:hAnsiTheme="majorHAnsi" w:cstheme="majorHAnsi"/>
          <w:bCs/>
          <w:sz w:val="24"/>
          <w:szCs w:val="24"/>
        </w:rPr>
        <w:t>1 539 KT eq CO2</w:t>
      </w:r>
      <w:r w:rsidRPr="002E75D4">
        <w:rPr>
          <w:rFonts w:asciiTheme="majorHAnsi" w:hAnsiTheme="majorHAnsi" w:cstheme="majorHAnsi"/>
          <w:sz w:val="24"/>
          <w:szCs w:val="24"/>
        </w:rPr>
        <w:t xml:space="preserve"> pour le scénario d’atténuation.</w:t>
      </w:r>
    </w:p>
    <w:p w14:paraId="763963EF" w14:textId="77777777" w:rsidR="00C03EC4" w:rsidRPr="002E75D4" w:rsidRDefault="00C03EC4" w:rsidP="00C03EC4">
      <w:pPr>
        <w:shd w:val="clear" w:color="auto" w:fill="FFFFFF" w:themeFill="background1"/>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 Ainsi, la mise en œuvre des différents programmes et projets du scénario d’atténuation permettra de baisser les émissions de GES au niveau du secteur des déchets de </w:t>
      </w:r>
      <w:r w:rsidRPr="002E75D4">
        <w:rPr>
          <w:rFonts w:asciiTheme="majorHAnsi" w:hAnsiTheme="majorHAnsi" w:cstheme="majorHAnsi"/>
          <w:bCs/>
          <w:sz w:val="24"/>
          <w:szCs w:val="24"/>
        </w:rPr>
        <w:t>31 %</w:t>
      </w:r>
      <w:r w:rsidRPr="002E75D4">
        <w:rPr>
          <w:rFonts w:asciiTheme="majorHAnsi" w:hAnsiTheme="majorHAnsi" w:cstheme="majorHAnsi"/>
          <w:sz w:val="24"/>
          <w:szCs w:val="24"/>
        </w:rPr>
        <w:t xml:space="preserve"> (soit </w:t>
      </w:r>
      <w:r w:rsidRPr="002E75D4">
        <w:rPr>
          <w:rFonts w:asciiTheme="majorHAnsi" w:hAnsiTheme="majorHAnsi" w:cstheme="majorHAnsi"/>
          <w:bCs/>
          <w:sz w:val="24"/>
          <w:szCs w:val="24"/>
        </w:rPr>
        <w:t>693 KT eq CO2</w:t>
      </w:r>
      <w:r w:rsidRPr="002E75D4">
        <w:rPr>
          <w:rFonts w:asciiTheme="majorHAnsi" w:hAnsiTheme="majorHAnsi" w:cstheme="majorHAnsi"/>
          <w:sz w:val="24"/>
          <w:szCs w:val="24"/>
        </w:rPr>
        <w:t>) par rapport au scénario de base</w:t>
      </w:r>
    </w:p>
    <w:p w14:paraId="12BBC722"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L’implication des femmes et des filles dans la gestion des déchets d’origine ménagère est capitale. Il s’agira de mettre un accent particulier sur :</w:t>
      </w:r>
    </w:p>
    <w:p w14:paraId="48D31EC5" w14:textId="77777777" w:rsidR="00C03EC4" w:rsidRPr="002E75D4" w:rsidRDefault="00C03EC4" w:rsidP="00C03EC4">
      <w:pPr>
        <w:pStyle w:val="Paragraphedeliste"/>
        <w:numPr>
          <w:ilvl w:val="0"/>
          <w:numId w:val="46"/>
        </w:num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l’appui aux entreprises féminines dans la gestion et le recyclage des déchets d’origine ménagère pour créer des emplois rentables et durables tout en protégeant l’environnement ;</w:t>
      </w:r>
    </w:p>
    <w:p w14:paraId="665046FA" w14:textId="77777777" w:rsidR="00C03EC4" w:rsidRPr="002E75D4" w:rsidRDefault="00C03EC4" w:rsidP="00C03EC4">
      <w:pPr>
        <w:pStyle w:val="Paragraphedeliste"/>
        <w:numPr>
          <w:ilvl w:val="0"/>
          <w:numId w:val="46"/>
        </w:num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l’adoption des techniques de transformation et de production des textiles qui protègent l’environnement (cas de fabrication et teinture des bazins).</w:t>
      </w:r>
    </w:p>
    <w:p w14:paraId="30BFD5BD"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coût du scénario d’atténuation du secteur Déchets est de 283.200.000 $US</w:t>
      </w:r>
    </w:p>
    <w:p w14:paraId="4A77833C" w14:textId="77777777" w:rsidR="00C03EC4" w:rsidRDefault="00C03EC4" w:rsidP="00C03EC4">
      <w:pPr>
        <w:pStyle w:val="Titre1"/>
        <w:spacing w:before="0" w:line="240" w:lineRule="auto"/>
        <w:ind w:right="-852"/>
        <w:jc w:val="both"/>
        <w:rPr>
          <w:rFonts w:asciiTheme="majorHAnsi" w:hAnsiTheme="majorHAnsi" w:cstheme="majorHAnsi"/>
          <w:bCs w:val="0"/>
          <w:sz w:val="30"/>
          <w:szCs w:val="30"/>
        </w:rPr>
      </w:pPr>
      <w:r w:rsidRPr="005F51BC">
        <w:rPr>
          <w:rFonts w:asciiTheme="majorHAnsi" w:hAnsiTheme="majorHAnsi" w:cstheme="majorHAnsi"/>
          <w:bCs w:val="0"/>
          <w:sz w:val="30"/>
          <w:szCs w:val="30"/>
        </w:rPr>
        <w:t>3.2.5 Prévisions d’émissions de l’ensemble des secteurs pour la période 2020-2030</w:t>
      </w:r>
    </w:p>
    <w:p w14:paraId="65F26AE3" w14:textId="77777777" w:rsidR="00C03EC4" w:rsidRPr="005F51BC" w:rsidRDefault="00C03EC4" w:rsidP="00C03EC4">
      <w:pPr>
        <w:spacing w:line="240" w:lineRule="auto"/>
      </w:pPr>
    </w:p>
    <w:p w14:paraId="1FFB7B5B"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tableau ci-après récapitule la situation globale des quatre secteurs énergie, agriculture, forêts et changements d’affectation des terres et déchets.</w:t>
      </w:r>
    </w:p>
    <w:p w14:paraId="0DB81353" w14:textId="77777777" w:rsidR="00C03EC4" w:rsidRDefault="00C03EC4" w:rsidP="00C03EC4">
      <w:pPr>
        <w:pStyle w:val="Lgende"/>
        <w:rPr>
          <w:rFonts w:asciiTheme="majorHAnsi" w:hAnsiTheme="majorHAnsi" w:cstheme="majorHAnsi"/>
          <w:b w:val="0"/>
          <w:sz w:val="24"/>
          <w:szCs w:val="24"/>
        </w:rPr>
      </w:pPr>
    </w:p>
    <w:p w14:paraId="69CA12A5" w14:textId="77777777" w:rsidR="00C03EC4" w:rsidRDefault="00C03EC4" w:rsidP="00C03EC4">
      <w:pPr>
        <w:pStyle w:val="Lgende"/>
        <w:rPr>
          <w:rFonts w:asciiTheme="majorHAnsi" w:hAnsiTheme="majorHAnsi" w:cstheme="majorHAnsi"/>
          <w:b w:val="0"/>
          <w:sz w:val="24"/>
          <w:szCs w:val="24"/>
        </w:rPr>
      </w:pPr>
    </w:p>
    <w:p w14:paraId="083A2653" w14:textId="77777777" w:rsidR="00C03EC4" w:rsidRDefault="00C03EC4" w:rsidP="00C03EC4">
      <w:pPr>
        <w:pStyle w:val="Lgende"/>
        <w:rPr>
          <w:rFonts w:asciiTheme="majorHAnsi" w:hAnsiTheme="majorHAnsi" w:cstheme="majorHAnsi"/>
          <w:b w:val="0"/>
          <w:sz w:val="24"/>
          <w:szCs w:val="24"/>
        </w:rPr>
      </w:pPr>
    </w:p>
    <w:p w14:paraId="39DD0496" w14:textId="77777777" w:rsidR="00C03EC4" w:rsidRDefault="00C03EC4" w:rsidP="00C03EC4">
      <w:pPr>
        <w:pStyle w:val="Lgende"/>
        <w:rPr>
          <w:rFonts w:asciiTheme="majorHAnsi" w:hAnsiTheme="majorHAnsi" w:cstheme="majorHAnsi"/>
          <w:b w:val="0"/>
          <w:sz w:val="24"/>
          <w:szCs w:val="24"/>
        </w:rPr>
      </w:pPr>
    </w:p>
    <w:p w14:paraId="6F05BE70" w14:textId="77777777" w:rsidR="00C03EC4" w:rsidRDefault="00C03EC4" w:rsidP="00C03EC4">
      <w:pPr>
        <w:pStyle w:val="Lgende"/>
        <w:rPr>
          <w:rFonts w:asciiTheme="majorHAnsi" w:hAnsiTheme="majorHAnsi" w:cstheme="majorHAnsi"/>
          <w:b w:val="0"/>
          <w:sz w:val="24"/>
          <w:szCs w:val="24"/>
        </w:rPr>
      </w:pPr>
    </w:p>
    <w:p w14:paraId="4A67C79F" w14:textId="77777777" w:rsidR="00C03EC4" w:rsidRDefault="00C03EC4" w:rsidP="00C03EC4">
      <w:pPr>
        <w:pStyle w:val="Lgende"/>
        <w:rPr>
          <w:rFonts w:asciiTheme="majorHAnsi" w:hAnsiTheme="majorHAnsi" w:cstheme="majorHAnsi"/>
          <w:b w:val="0"/>
          <w:sz w:val="24"/>
          <w:szCs w:val="24"/>
        </w:rPr>
      </w:pPr>
    </w:p>
    <w:p w14:paraId="0A61FF33" w14:textId="77777777" w:rsidR="00C03EC4" w:rsidRDefault="00C03EC4" w:rsidP="00C03EC4">
      <w:pPr>
        <w:pStyle w:val="Lgende"/>
        <w:rPr>
          <w:rFonts w:asciiTheme="majorHAnsi" w:hAnsiTheme="majorHAnsi" w:cstheme="majorHAnsi"/>
          <w:b w:val="0"/>
          <w:sz w:val="24"/>
          <w:szCs w:val="24"/>
        </w:rPr>
      </w:pPr>
    </w:p>
    <w:p w14:paraId="6C87F23C" w14:textId="77777777" w:rsidR="00C03EC4" w:rsidRPr="002E75D4" w:rsidRDefault="00C03EC4" w:rsidP="00C03EC4">
      <w:pPr>
        <w:pStyle w:val="Lgende"/>
        <w:rPr>
          <w:rFonts w:asciiTheme="majorHAnsi" w:hAnsiTheme="majorHAnsi" w:cstheme="majorHAnsi"/>
          <w:b w:val="0"/>
          <w:bCs w:val="0"/>
          <w:sz w:val="24"/>
          <w:szCs w:val="24"/>
        </w:rPr>
      </w:pPr>
      <w:r w:rsidRPr="00B13E5A">
        <w:rPr>
          <w:rFonts w:asciiTheme="majorHAnsi" w:hAnsiTheme="majorHAnsi" w:cstheme="majorHAnsi"/>
          <w:sz w:val="24"/>
          <w:szCs w:val="24"/>
          <w:u w:val="single"/>
        </w:rPr>
        <w:t>Tableau 17</w:t>
      </w:r>
      <w:r w:rsidRPr="002E75D4">
        <w:rPr>
          <w:rFonts w:asciiTheme="majorHAnsi" w:hAnsiTheme="majorHAnsi" w:cstheme="majorHAnsi"/>
          <w:b w:val="0"/>
          <w:sz w:val="24"/>
          <w:szCs w:val="24"/>
        </w:rPr>
        <w:t> :</w:t>
      </w:r>
      <w:r w:rsidRPr="002E75D4">
        <w:rPr>
          <w:rFonts w:asciiTheme="majorHAnsi" w:hAnsiTheme="majorHAnsi" w:cstheme="majorHAnsi"/>
          <w:b w:val="0"/>
          <w:bCs w:val="0"/>
          <w:sz w:val="24"/>
          <w:szCs w:val="24"/>
        </w:rPr>
        <w:t xml:space="preserve"> Evolution des émissions globales en équivalent KT Eq CO2, scénario de base et scénario d’atténuation </w:t>
      </w:r>
    </w:p>
    <w:p w14:paraId="3664D62B" w14:textId="77777777" w:rsidR="00C03EC4" w:rsidRPr="002E75D4" w:rsidRDefault="00C03EC4" w:rsidP="00C03EC4">
      <w:pPr>
        <w:spacing w:after="0"/>
        <w:jc w:val="both"/>
        <w:rPr>
          <w:rFonts w:asciiTheme="majorHAnsi" w:hAnsiTheme="majorHAnsi" w:cstheme="majorHAnsi"/>
          <w:sz w:val="16"/>
        </w:rPr>
      </w:pPr>
    </w:p>
    <w:tbl>
      <w:tblPr>
        <w:tblStyle w:val="Grillemoyenne3-Accent1"/>
        <w:tblW w:w="5000" w:type="pct"/>
        <w:tblLayout w:type="fixed"/>
        <w:tblLook w:val="0420" w:firstRow="1" w:lastRow="0" w:firstColumn="0" w:lastColumn="0" w:noHBand="0" w:noVBand="1"/>
      </w:tblPr>
      <w:tblGrid>
        <w:gridCol w:w="1054"/>
        <w:gridCol w:w="1250"/>
        <w:gridCol w:w="1368"/>
        <w:gridCol w:w="1418"/>
        <w:gridCol w:w="1560"/>
        <w:gridCol w:w="1368"/>
        <w:gridCol w:w="1601"/>
      </w:tblGrid>
      <w:tr w:rsidR="00C03EC4" w:rsidRPr="002E75D4" w14:paraId="265411BC" w14:textId="77777777" w:rsidTr="000D6136">
        <w:trPr>
          <w:cnfStyle w:val="100000000000" w:firstRow="1" w:lastRow="0" w:firstColumn="0" w:lastColumn="0" w:oddVBand="0" w:evenVBand="0" w:oddHBand="0" w:evenHBand="0" w:firstRowFirstColumn="0" w:firstRowLastColumn="0" w:lastRowFirstColumn="0" w:lastRowLastColumn="0"/>
          <w:trHeight w:val="568"/>
        </w:trPr>
        <w:tc>
          <w:tcPr>
            <w:tcW w:w="548" w:type="pct"/>
            <w:vMerge w:val="restart"/>
            <w:shd w:val="clear" w:color="auto" w:fill="002060"/>
            <w:noWrap/>
            <w:hideMark/>
          </w:tcPr>
          <w:p w14:paraId="5578F886" w14:textId="77777777" w:rsidR="00C03EC4" w:rsidRPr="002E75D4" w:rsidRDefault="00C03EC4" w:rsidP="000D6136">
            <w:pPr>
              <w:rPr>
                <w:rFonts w:asciiTheme="majorHAnsi" w:hAnsiTheme="majorHAnsi" w:cstheme="majorHAnsi"/>
                <w:color w:val="auto"/>
                <w:sz w:val="24"/>
              </w:rPr>
            </w:pPr>
            <w:r w:rsidRPr="002E75D4">
              <w:rPr>
                <w:rFonts w:asciiTheme="majorHAnsi" w:hAnsiTheme="majorHAnsi" w:cstheme="majorHAnsi"/>
                <w:color w:val="auto"/>
                <w:sz w:val="24"/>
              </w:rPr>
              <w:t>Années</w:t>
            </w:r>
          </w:p>
        </w:tc>
        <w:tc>
          <w:tcPr>
            <w:tcW w:w="1361" w:type="pct"/>
            <w:gridSpan w:val="2"/>
            <w:shd w:val="clear" w:color="auto" w:fill="002060"/>
            <w:hideMark/>
          </w:tcPr>
          <w:p w14:paraId="1CE322C5" w14:textId="77777777" w:rsidR="00C03EC4" w:rsidRPr="002E75D4" w:rsidRDefault="00C03EC4" w:rsidP="000D6136">
            <w:pPr>
              <w:rPr>
                <w:rFonts w:asciiTheme="majorHAnsi" w:hAnsiTheme="majorHAnsi" w:cstheme="majorHAnsi"/>
                <w:color w:val="auto"/>
                <w:sz w:val="24"/>
              </w:rPr>
            </w:pPr>
            <w:r w:rsidRPr="002E75D4">
              <w:rPr>
                <w:rFonts w:asciiTheme="majorHAnsi" w:hAnsiTheme="majorHAnsi" w:cstheme="majorHAnsi"/>
                <w:color w:val="auto"/>
                <w:sz w:val="24"/>
              </w:rPr>
              <w:t>Séquestration</w:t>
            </w:r>
          </w:p>
          <w:p w14:paraId="50B99D3B" w14:textId="77777777" w:rsidR="00C03EC4" w:rsidRPr="002E75D4" w:rsidRDefault="00C03EC4" w:rsidP="000D6136">
            <w:pPr>
              <w:rPr>
                <w:rFonts w:asciiTheme="majorHAnsi" w:hAnsiTheme="majorHAnsi" w:cstheme="majorHAnsi"/>
                <w:color w:val="auto"/>
                <w:sz w:val="24"/>
              </w:rPr>
            </w:pPr>
            <w:r w:rsidRPr="002E75D4">
              <w:rPr>
                <w:rFonts w:asciiTheme="majorHAnsi" w:hAnsiTheme="majorHAnsi" w:cstheme="majorHAnsi"/>
                <w:color w:val="auto"/>
                <w:sz w:val="24"/>
              </w:rPr>
              <w:t>(Secteur forêts)</w:t>
            </w:r>
          </w:p>
        </w:tc>
        <w:tc>
          <w:tcPr>
            <w:tcW w:w="1548" w:type="pct"/>
            <w:gridSpan w:val="2"/>
            <w:shd w:val="clear" w:color="auto" w:fill="002060"/>
            <w:hideMark/>
          </w:tcPr>
          <w:p w14:paraId="7BD1CD14" w14:textId="77777777" w:rsidR="00C03EC4" w:rsidRPr="002E75D4" w:rsidRDefault="00C03EC4" w:rsidP="000D6136">
            <w:pPr>
              <w:rPr>
                <w:rFonts w:asciiTheme="majorHAnsi" w:hAnsiTheme="majorHAnsi" w:cstheme="majorHAnsi"/>
                <w:color w:val="auto"/>
                <w:sz w:val="24"/>
              </w:rPr>
            </w:pPr>
            <w:r w:rsidRPr="002E75D4">
              <w:rPr>
                <w:rFonts w:asciiTheme="majorHAnsi" w:hAnsiTheme="majorHAnsi" w:cstheme="majorHAnsi"/>
                <w:color w:val="auto"/>
                <w:sz w:val="24"/>
              </w:rPr>
              <w:t>Emissions cumulées des</w:t>
            </w:r>
          </w:p>
          <w:p w14:paraId="3AB560A4" w14:textId="77777777" w:rsidR="00C03EC4" w:rsidRPr="002E75D4" w:rsidRDefault="00C03EC4" w:rsidP="000D6136">
            <w:pPr>
              <w:rPr>
                <w:rFonts w:asciiTheme="majorHAnsi" w:hAnsiTheme="majorHAnsi" w:cstheme="majorHAnsi"/>
                <w:color w:val="auto"/>
                <w:sz w:val="24"/>
              </w:rPr>
            </w:pPr>
            <w:r w:rsidRPr="002E75D4">
              <w:rPr>
                <w:rFonts w:asciiTheme="majorHAnsi" w:hAnsiTheme="majorHAnsi" w:cstheme="majorHAnsi"/>
                <w:color w:val="auto"/>
                <w:sz w:val="24"/>
              </w:rPr>
              <w:t>4 secteurs</w:t>
            </w:r>
          </w:p>
        </w:tc>
        <w:tc>
          <w:tcPr>
            <w:tcW w:w="1543" w:type="pct"/>
            <w:gridSpan w:val="2"/>
            <w:shd w:val="clear" w:color="auto" w:fill="002060"/>
            <w:hideMark/>
          </w:tcPr>
          <w:p w14:paraId="5B494E77" w14:textId="77777777" w:rsidR="00C03EC4" w:rsidRPr="002E75D4" w:rsidRDefault="00C03EC4" w:rsidP="000D6136">
            <w:pPr>
              <w:rPr>
                <w:rFonts w:asciiTheme="majorHAnsi" w:hAnsiTheme="majorHAnsi" w:cstheme="majorHAnsi"/>
                <w:color w:val="auto"/>
                <w:sz w:val="24"/>
              </w:rPr>
            </w:pPr>
            <w:r w:rsidRPr="002E75D4">
              <w:rPr>
                <w:rFonts w:asciiTheme="majorHAnsi" w:hAnsiTheme="majorHAnsi" w:cstheme="majorHAnsi"/>
                <w:color w:val="auto"/>
                <w:sz w:val="24"/>
              </w:rPr>
              <w:t>Emissions Globales</w:t>
            </w:r>
          </w:p>
        </w:tc>
      </w:tr>
      <w:tr w:rsidR="00C03EC4" w:rsidRPr="002E75D4" w14:paraId="5833D8F4"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548" w:type="pct"/>
            <w:vMerge/>
            <w:shd w:val="clear" w:color="auto" w:fill="002060"/>
            <w:noWrap/>
          </w:tcPr>
          <w:p w14:paraId="02391F5C" w14:textId="77777777" w:rsidR="00C03EC4" w:rsidRPr="002E75D4" w:rsidRDefault="00C03EC4" w:rsidP="000D6136">
            <w:pPr>
              <w:spacing w:before="120"/>
              <w:rPr>
                <w:rFonts w:asciiTheme="majorHAnsi" w:hAnsiTheme="majorHAnsi" w:cstheme="majorHAnsi"/>
                <w:b/>
              </w:rPr>
            </w:pPr>
          </w:p>
        </w:tc>
        <w:tc>
          <w:tcPr>
            <w:tcW w:w="650" w:type="pct"/>
            <w:shd w:val="clear" w:color="auto" w:fill="002060"/>
            <w:noWrap/>
          </w:tcPr>
          <w:p w14:paraId="6474B987" w14:textId="77777777" w:rsidR="00C03EC4" w:rsidRPr="002E75D4" w:rsidRDefault="00C03EC4" w:rsidP="000D6136">
            <w:pPr>
              <w:spacing w:before="120"/>
              <w:rPr>
                <w:rFonts w:asciiTheme="majorHAnsi" w:hAnsiTheme="majorHAnsi" w:cstheme="majorHAnsi"/>
                <w:b/>
              </w:rPr>
            </w:pPr>
            <w:r w:rsidRPr="002E75D4">
              <w:rPr>
                <w:rFonts w:asciiTheme="majorHAnsi" w:hAnsiTheme="majorHAnsi" w:cstheme="majorHAnsi"/>
                <w:b/>
              </w:rPr>
              <w:t>Scénario de base</w:t>
            </w:r>
          </w:p>
        </w:tc>
        <w:tc>
          <w:tcPr>
            <w:tcW w:w="711" w:type="pct"/>
            <w:shd w:val="clear" w:color="auto" w:fill="002060"/>
            <w:noWrap/>
          </w:tcPr>
          <w:p w14:paraId="6CFE5738" w14:textId="77777777" w:rsidR="00C03EC4" w:rsidRPr="002E75D4" w:rsidRDefault="00C03EC4" w:rsidP="000D6136">
            <w:pPr>
              <w:spacing w:before="120"/>
              <w:rPr>
                <w:rFonts w:asciiTheme="majorHAnsi" w:hAnsiTheme="majorHAnsi" w:cstheme="majorHAnsi"/>
                <w:b/>
              </w:rPr>
            </w:pPr>
            <w:r w:rsidRPr="002E75D4">
              <w:rPr>
                <w:rFonts w:asciiTheme="majorHAnsi" w:hAnsiTheme="majorHAnsi" w:cstheme="majorHAnsi"/>
                <w:b/>
              </w:rPr>
              <w:t>Scénario d’atténuation</w:t>
            </w:r>
          </w:p>
        </w:tc>
        <w:tc>
          <w:tcPr>
            <w:tcW w:w="737" w:type="pct"/>
            <w:shd w:val="clear" w:color="auto" w:fill="002060"/>
            <w:noWrap/>
          </w:tcPr>
          <w:p w14:paraId="7464F4C1" w14:textId="77777777" w:rsidR="00C03EC4" w:rsidRPr="002E75D4" w:rsidRDefault="00C03EC4" w:rsidP="000D6136">
            <w:pPr>
              <w:spacing w:before="120"/>
              <w:rPr>
                <w:rFonts w:asciiTheme="majorHAnsi" w:hAnsiTheme="majorHAnsi" w:cstheme="majorHAnsi"/>
                <w:b/>
              </w:rPr>
            </w:pPr>
            <w:r w:rsidRPr="002E75D4">
              <w:rPr>
                <w:rFonts w:asciiTheme="majorHAnsi" w:hAnsiTheme="majorHAnsi" w:cstheme="majorHAnsi"/>
                <w:b/>
              </w:rPr>
              <w:t>Scénario de base</w:t>
            </w:r>
          </w:p>
        </w:tc>
        <w:tc>
          <w:tcPr>
            <w:tcW w:w="811" w:type="pct"/>
            <w:shd w:val="clear" w:color="auto" w:fill="002060"/>
            <w:noWrap/>
          </w:tcPr>
          <w:p w14:paraId="600E823A" w14:textId="77777777" w:rsidR="00C03EC4" w:rsidRPr="002E75D4" w:rsidRDefault="00C03EC4" w:rsidP="000D6136">
            <w:pPr>
              <w:spacing w:before="120"/>
              <w:rPr>
                <w:rFonts w:asciiTheme="majorHAnsi" w:hAnsiTheme="majorHAnsi" w:cstheme="majorHAnsi"/>
                <w:b/>
              </w:rPr>
            </w:pPr>
            <w:r w:rsidRPr="002E75D4">
              <w:rPr>
                <w:rFonts w:asciiTheme="majorHAnsi" w:hAnsiTheme="majorHAnsi" w:cstheme="majorHAnsi"/>
                <w:b/>
              </w:rPr>
              <w:t>Scénario d’atténuation</w:t>
            </w:r>
          </w:p>
        </w:tc>
        <w:tc>
          <w:tcPr>
            <w:tcW w:w="711" w:type="pct"/>
            <w:shd w:val="clear" w:color="auto" w:fill="002060"/>
            <w:noWrap/>
          </w:tcPr>
          <w:p w14:paraId="27A6DD7D" w14:textId="77777777" w:rsidR="00C03EC4" w:rsidRPr="002E75D4" w:rsidRDefault="00C03EC4" w:rsidP="000D6136">
            <w:pPr>
              <w:spacing w:before="120"/>
              <w:rPr>
                <w:rFonts w:asciiTheme="majorHAnsi" w:hAnsiTheme="majorHAnsi" w:cstheme="majorHAnsi"/>
                <w:b/>
              </w:rPr>
            </w:pPr>
            <w:r w:rsidRPr="002E75D4">
              <w:rPr>
                <w:rFonts w:asciiTheme="majorHAnsi" w:hAnsiTheme="majorHAnsi" w:cstheme="majorHAnsi"/>
                <w:b/>
              </w:rPr>
              <w:t>Scénario de base</w:t>
            </w:r>
          </w:p>
        </w:tc>
        <w:tc>
          <w:tcPr>
            <w:tcW w:w="832" w:type="pct"/>
            <w:shd w:val="clear" w:color="auto" w:fill="002060"/>
            <w:noWrap/>
          </w:tcPr>
          <w:p w14:paraId="478BC5E6" w14:textId="77777777" w:rsidR="00C03EC4" w:rsidRPr="002E75D4" w:rsidRDefault="00C03EC4" w:rsidP="000D6136">
            <w:pPr>
              <w:spacing w:before="120"/>
              <w:rPr>
                <w:rFonts w:asciiTheme="majorHAnsi" w:hAnsiTheme="majorHAnsi" w:cstheme="majorHAnsi"/>
                <w:b/>
              </w:rPr>
            </w:pPr>
            <w:r w:rsidRPr="002E75D4">
              <w:rPr>
                <w:rFonts w:asciiTheme="majorHAnsi" w:hAnsiTheme="majorHAnsi" w:cstheme="majorHAnsi"/>
                <w:b/>
              </w:rPr>
              <w:t>Scénario d’atténuation</w:t>
            </w:r>
          </w:p>
        </w:tc>
      </w:tr>
      <w:tr w:rsidR="00C03EC4" w:rsidRPr="002E75D4" w14:paraId="1951816E" w14:textId="77777777" w:rsidTr="000D6136">
        <w:trPr>
          <w:trHeight w:val="300"/>
        </w:trPr>
        <w:tc>
          <w:tcPr>
            <w:tcW w:w="548" w:type="pct"/>
            <w:noWrap/>
            <w:hideMark/>
          </w:tcPr>
          <w:p w14:paraId="5816DEA8"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2020</w:t>
            </w:r>
          </w:p>
        </w:tc>
        <w:tc>
          <w:tcPr>
            <w:tcW w:w="650" w:type="pct"/>
            <w:noWrap/>
            <w:hideMark/>
          </w:tcPr>
          <w:p w14:paraId="0068C0F5"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-334 386</w:t>
            </w:r>
          </w:p>
        </w:tc>
        <w:tc>
          <w:tcPr>
            <w:tcW w:w="711" w:type="pct"/>
            <w:noWrap/>
            <w:hideMark/>
          </w:tcPr>
          <w:p w14:paraId="4DBF1606"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-334 386</w:t>
            </w:r>
          </w:p>
        </w:tc>
        <w:tc>
          <w:tcPr>
            <w:tcW w:w="737" w:type="pct"/>
            <w:noWrap/>
            <w:hideMark/>
          </w:tcPr>
          <w:p w14:paraId="36BCC5AA"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95 443</w:t>
            </w:r>
          </w:p>
        </w:tc>
        <w:tc>
          <w:tcPr>
            <w:tcW w:w="811" w:type="pct"/>
            <w:noWrap/>
            <w:hideMark/>
          </w:tcPr>
          <w:p w14:paraId="02F7D8B0"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98 723</w:t>
            </w:r>
          </w:p>
        </w:tc>
        <w:tc>
          <w:tcPr>
            <w:tcW w:w="711" w:type="pct"/>
            <w:noWrap/>
            <w:hideMark/>
          </w:tcPr>
          <w:p w14:paraId="794087D0"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-238 943</w:t>
            </w:r>
          </w:p>
        </w:tc>
        <w:tc>
          <w:tcPr>
            <w:tcW w:w="832" w:type="pct"/>
            <w:noWrap/>
            <w:hideMark/>
          </w:tcPr>
          <w:p w14:paraId="3BA73964"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-235 663</w:t>
            </w:r>
          </w:p>
        </w:tc>
      </w:tr>
      <w:tr w:rsidR="00C03EC4" w:rsidRPr="002E75D4" w14:paraId="5F88C0B2"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548" w:type="pct"/>
            <w:noWrap/>
            <w:hideMark/>
          </w:tcPr>
          <w:p w14:paraId="66DF131A"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2025</w:t>
            </w:r>
          </w:p>
        </w:tc>
        <w:tc>
          <w:tcPr>
            <w:tcW w:w="650" w:type="pct"/>
            <w:noWrap/>
            <w:hideMark/>
          </w:tcPr>
          <w:p w14:paraId="16ECCADA"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-334 194</w:t>
            </w:r>
          </w:p>
        </w:tc>
        <w:tc>
          <w:tcPr>
            <w:tcW w:w="711" w:type="pct"/>
            <w:noWrap/>
            <w:hideMark/>
          </w:tcPr>
          <w:p w14:paraId="152ED115"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-357 005</w:t>
            </w:r>
          </w:p>
        </w:tc>
        <w:tc>
          <w:tcPr>
            <w:tcW w:w="737" w:type="pct"/>
            <w:noWrap/>
            <w:hideMark/>
          </w:tcPr>
          <w:p w14:paraId="4017DBD6"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106 337</w:t>
            </w:r>
          </w:p>
        </w:tc>
        <w:tc>
          <w:tcPr>
            <w:tcW w:w="811" w:type="pct"/>
            <w:noWrap/>
            <w:hideMark/>
          </w:tcPr>
          <w:p w14:paraId="6E5965F9"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86 788</w:t>
            </w:r>
          </w:p>
        </w:tc>
        <w:tc>
          <w:tcPr>
            <w:tcW w:w="711" w:type="pct"/>
            <w:noWrap/>
            <w:hideMark/>
          </w:tcPr>
          <w:p w14:paraId="76A9FB5D"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-227 857</w:t>
            </w:r>
          </w:p>
        </w:tc>
        <w:tc>
          <w:tcPr>
            <w:tcW w:w="832" w:type="pct"/>
            <w:noWrap/>
            <w:hideMark/>
          </w:tcPr>
          <w:p w14:paraId="721D0D00"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-270 217</w:t>
            </w:r>
          </w:p>
        </w:tc>
      </w:tr>
      <w:tr w:rsidR="00C03EC4" w:rsidRPr="002E75D4" w14:paraId="5DB88ED5" w14:textId="77777777" w:rsidTr="000D6136">
        <w:trPr>
          <w:trHeight w:val="300"/>
        </w:trPr>
        <w:tc>
          <w:tcPr>
            <w:tcW w:w="548" w:type="pct"/>
            <w:noWrap/>
            <w:hideMark/>
          </w:tcPr>
          <w:p w14:paraId="1C5544B5"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2028</w:t>
            </w:r>
          </w:p>
        </w:tc>
        <w:tc>
          <w:tcPr>
            <w:tcW w:w="650" w:type="pct"/>
            <w:noWrap/>
            <w:hideMark/>
          </w:tcPr>
          <w:p w14:paraId="0E3997A4"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-334 078</w:t>
            </w:r>
          </w:p>
        </w:tc>
        <w:tc>
          <w:tcPr>
            <w:tcW w:w="711" w:type="pct"/>
            <w:noWrap/>
            <w:hideMark/>
          </w:tcPr>
          <w:p w14:paraId="527B37C8"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-373 998</w:t>
            </w:r>
          </w:p>
        </w:tc>
        <w:tc>
          <w:tcPr>
            <w:tcW w:w="737" w:type="pct"/>
            <w:noWrap/>
            <w:hideMark/>
          </w:tcPr>
          <w:p w14:paraId="5C17DF40"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114 638</w:t>
            </w:r>
          </w:p>
        </w:tc>
        <w:tc>
          <w:tcPr>
            <w:tcW w:w="811" w:type="pct"/>
            <w:noWrap/>
            <w:hideMark/>
          </w:tcPr>
          <w:p w14:paraId="1ADC9429"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86 858</w:t>
            </w:r>
          </w:p>
        </w:tc>
        <w:tc>
          <w:tcPr>
            <w:tcW w:w="711" w:type="pct"/>
            <w:noWrap/>
            <w:hideMark/>
          </w:tcPr>
          <w:p w14:paraId="1B2CB0AE"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-219 440</w:t>
            </w:r>
          </w:p>
        </w:tc>
        <w:tc>
          <w:tcPr>
            <w:tcW w:w="832" w:type="pct"/>
            <w:noWrap/>
            <w:hideMark/>
          </w:tcPr>
          <w:p w14:paraId="1C82B724"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-287 140</w:t>
            </w:r>
          </w:p>
        </w:tc>
      </w:tr>
      <w:tr w:rsidR="00C03EC4" w:rsidRPr="002E75D4" w14:paraId="1B20D378"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548" w:type="pct"/>
            <w:noWrap/>
            <w:hideMark/>
          </w:tcPr>
          <w:p w14:paraId="0C4C6869"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2030</w:t>
            </w:r>
          </w:p>
        </w:tc>
        <w:tc>
          <w:tcPr>
            <w:tcW w:w="650" w:type="pct"/>
            <w:noWrap/>
            <w:hideMark/>
          </w:tcPr>
          <w:p w14:paraId="6A4E2E41"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-334 001</w:t>
            </w:r>
          </w:p>
        </w:tc>
        <w:tc>
          <w:tcPr>
            <w:tcW w:w="711" w:type="pct"/>
            <w:noWrap/>
            <w:hideMark/>
          </w:tcPr>
          <w:p w14:paraId="54515099"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-391 030</w:t>
            </w:r>
          </w:p>
        </w:tc>
        <w:tc>
          <w:tcPr>
            <w:tcW w:w="737" w:type="pct"/>
            <w:noWrap/>
            <w:hideMark/>
          </w:tcPr>
          <w:p w14:paraId="4E8DE761"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122 137</w:t>
            </w:r>
          </w:p>
        </w:tc>
        <w:tc>
          <w:tcPr>
            <w:tcW w:w="811" w:type="pct"/>
            <w:noWrap/>
            <w:hideMark/>
          </w:tcPr>
          <w:p w14:paraId="34F2605C"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94 547</w:t>
            </w:r>
          </w:p>
        </w:tc>
        <w:tc>
          <w:tcPr>
            <w:tcW w:w="711" w:type="pct"/>
            <w:noWrap/>
            <w:hideMark/>
          </w:tcPr>
          <w:p w14:paraId="51678762"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-211 864</w:t>
            </w:r>
          </w:p>
        </w:tc>
        <w:tc>
          <w:tcPr>
            <w:tcW w:w="832" w:type="pct"/>
            <w:noWrap/>
            <w:hideMark/>
          </w:tcPr>
          <w:p w14:paraId="0BC18BE7" w14:textId="77777777" w:rsidR="00C03EC4" w:rsidRPr="002E75D4" w:rsidRDefault="00C03EC4" w:rsidP="000D6136">
            <w:pPr>
              <w:spacing w:before="120"/>
              <w:rPr>
                <w:rFonts w:asciiTheme="majorHAnsi" w:hAnsiTheme="majorHAnsi" w:cstheme="majorHAnsi"/>
                <w:sz w:val="24"/>
              </w:rPr>
            </w:pPr>
            <w:r w:rsidRPr="002E75D4">
              <w:rPr>
                <w:rFonts w:asciiTheme="majorHAnsi" w:hAnsiTheme="majorHAnsi" w:cstheme="majorHAnsi"/>
                <w:sz w:val="24"/>
              </w:rPr>
              <w:t>-296 483</w:t>
            </w:r>
          </w:p>
        </w:tc>
      </w:tr>
    </w:tbl>
    <w:p w14:paraId="555D5F0F" w14:textId="77777777" w:rsidR="00C03EC4" w:rsidRPr="002E75D4" w:rsidRDefault="00C03EC4" w:rsidP="00C03EC4">
      <w:pPr>
        <w:shd w:val="clear" w:color="auto" w:fill="FFFFFF" w:themeFill="background1"/>
        <w:spacing w:after="120"/>
        <w:jc w:val="both"/>
        <w:rPr>
          <w:rFonts w:asciiTheme="majorHAnsi" w:eastAsia="Calibri" w:hAnsiTheme="majorHAnsi" w:cstheme="majorHAnsi"/>
          <w:sz w:val="28"/>
          <w:szCs w:val="24"/>
        </w:rPr>
      </w:pPr>
    </w:p>
    <w:p w14:paraId="7A14B2B0" w14:textId="77777777" w:rsidR="00C03EC4" w:rsidRPr="002E75D4" w:rsidRDefault="00C03EC4" w:rsidP="00C03EC4">
      <w:pPr>
        <w:shd w:val="clear" w:color="auto" w:fill="FFFFFF" w:themeFill="background1"/>
        <w:spacing w:before="2"/>
        <w:ind w:left="28" w:right="-569"/>
        <w:jc w:val="both"/>
        <w:rPr>
          <w:rFonts w:asciiTheme="majorHAnsi" w:eastAsia="Calibri" w:hAnsiTheme="majorHAnsi" w:cstheme="majorHAnsi"/>
          <w:spacing w:val="-1"/>
          <w:sz w:val="24"/>
          <w:szCs w:val="24"/>
        </w:rPr>
      </w:pPr>
      <w:bookmarkStart w:id="11" w:name="_Hlk76380072"/>
      <w:r w:rsidRPr="002E75D4">
        <w:rPr>
          <w:rFonts w:asciiTheme="majorHAnsi" w:eastAsia="Calibri" w:hAnsiTheme="majorHAnsi" w:cstheme="majorHAnsi"/>
          <w:sz w:val="24"/>
          <w:szCs w:val="24"/>
        </w:rPr>
        <w:t>Le bilan</w:t>
      </w:r>
      <w:r w:rsidRPr="002E75D4">
        <w:rPr>
          <w:rFonts w:asciiTheme="majorHAnsi" w:eastAsia="Calibri" w:hAnsiTheme="majorHAnsi" w:cstheme="majorHAnsi"/>
          <w:spacing w:val="1"/>
          <w:sz w:val="24"/>
          <w:szCs w:val="24"/>
        </w:rPr>
        <w:t xml:space="preserve"> global des émissions </w:t>
      </w:r>
      <w:r w:rsidRPr="002E75D4">
        <w:rPr>
          <w:rFonts w:asciiTheme="majorHAnsi" w:eastAsia="Calibri" w:hAnsiTheme="majorHAnsi" w:cstheme="majorHAnsi"/>
          <w:sz w:val="24"/>
          <w:szCs w:val="24"/>
        </w:rPr>
        <w:t>nettes pour les quatre secteurs (foresterie et</w:t>
      </w:r>
      <w:r w:rsidRPr="002E75D4">
        <w:rPr>
          <w:rFonts w:asciiTheme="majorHAnsi" w:eastAsia="Calibri" w:hAnsiTheme="majorHAnsi" w:cstheme="majorHAnsi"/>
          <w:spacing w:val="1"/>
          <w:sz w:val="24"/>
          <w:szCs w:val="24"/>
        </w:rPr>
        <w:t xml:space="preserve"> </w:t>
      </w:r>
      <w:r w:rsidRPr="002E75D4">
        <w:rPr>
          <w:rFonts w:asciiTheme="majorHAnsi" w:eastAsia="Calibri" w:hAnsiTheme="majorHAnsi" w:cstheme="majorHAnsi"/>
          <w:sz w:val="24"/>
          <w:szCs w:val="24"/>
        </w:rPr>
        <w:t>des changements</w:t>
      </w:r>
      <w:r w:rsidRPr="002E75D4">
        <w:rPr>
          <w:rFonts w:asciiTheme="majorHAnsi" w:eastAsia="Calibri" w:hAnsiTheme="majorHAnsi" w:cstheme="majorHAnsi"/>
          <w:spacing w:val="1"/>
          <w:sz w:val="24"/>
          <w:szCs w:val="24"/>
        </w:rPr>
        <w:t xml:space="preserve"> </w:t>
      </w:r>
      <w:r w:rsidRPr="002E75D4">
        <w:rPr>
          <w:rFonts w:asciiTheme="majorHAnsi" w:eastAsia="Calibri" w:hAnsiTheme="majorHAnsi" w:cstheme="majorHAnsi"/>
          <w:spacing w:val="-1"/>
          <w:sz w:val="24"/>
          <w:szCs w:val="24"/>
        </w:rPr>
        <w:t>d’affectation</w:t>
      </w:r>
      <w:r w:rsidRPr="002E75D4">
        <w:rPr>
          <w:rFonts w:asciiTheme="majorHAnsi" w:eastAsia="Calibri" w:hAnsiTheme="majorHAnsi" w:cstheme="majorHAnsi"/>
          <w:spacing w:val="1"/>
          <w:sz w:val="24"/>
          <w:szCs w:val="24"/>
        </w:rPr>
        <w:t xml:space="preserve"> </w:t>
      </w:r>
      <w:r w:rsidRPr="002E75D4">
        <w:rPr>
          <w:rFonts w:asciiTheme="majorHAnsi" w:eastAsia="Calibri" w:hAnsiTheme="majorHAnsi" w:cstheme="majorHAnsi"/>
          <w:sz w:val="24"/>
          <w:szCs w:val="24"/>
        </w:rPr>
        <w:t>des terres, Agriculture, Energie et Déchets)</w:t>
      </w:r>
      <w:r w:rsidRPr="002E75D4">
        <w:rPr>
          <w:rFonts w:asciiTheme="majorHAnsi" w:eastAsia="Calibri" w:hAnsiTheme="majorHAnsi" w:cstheme="majorHAnsi"/>
          <w:spacing w:val="1"/>
          <w:sz w:val="24"/>
          <w:szCs w:val="24"/>
        </w:rPr>
        <w:t xml:space="preserve"> </w:t>
      </w:r>
      <w:r w:rsidRPr="002E75D4">
        <w:rPr>
          <w:rFonts w:asciiTheme="majorHAnsi" w:eastAsia="Calibri" w:hAnsiTheme="majorHAnsi" w:cstheme="majorHAnsi"/>
          <w:sz w:val="24"/>
          <w:szCs w:val="24"/>
        </w:rPr>
        <w:t>est un</w:t>
      </w:r>
      <w:r w:rsidRPr="002E75D4">
        <w:rPr>
          <w:rFonts w:asciiTheme="majorHAnsi" w:eastAsia="Calibri" w:hAnsiTheme="majorHAnsi" w:cstheme="majorHAnsi"/>
          <w:spacing w:val="1"/>
          <w:sz w:val="24"/>
          <w:szCs w:val="24"/>
        </w:rPr>
        <w:t xml:space="preserve"> </w:t>
      </w:r>
      <w:r w:rsidRPr="002E75D4">
        <w:rPr>
          <w:rFonts w:asciiTheme="majorHAnsi" w:eastAsia="Calibri" w:hAnsiTheme="majorHAnsi" w:cstheme="majorHAnsi"/>
          <w:sz w:val="24"/>
          <w:szCs w:val="24"/>
        </w:rPr>
        <w:t>bilan</w:t>
      </w:r>
      <w:r w:rsidRPr="002E75D4">
        <w:rPr>
          <w:rFonts w:asciiTheme="majorHAnsi" w:eastAsia="Calibri" w:hAnsiTheme="majorHAnsi" w:cstheme="majorHAnsi"/>
          <w:spacing w:val="1"/>
          <w:sz w:val="24"/>
          <w:szCs w:val="24"/>
        </w:rPr>
        <w:t xml:space="preserve"> </w:t>
      </w:r>
      <w:r w:rsidRPr="002E75D4">
        <w:rPr>
          <w:rFonts w:asciiTheme="majorHAnsi" w:eastAsia="Calibri" w:hAnsiTheme="majorHAnsi" w:cstheme="majorHAnsi"/>
          <w:sz w:val="24"/>
          <w:szCs w:val="24"/>
        </w:rPr>
        <w:t>de</w:t>
      </w:r>
      <w:r w:rsidRPr="002E75D4">
        <w:rPr>
          <w:rFonts w:asciiTheme="majorHAnsi" w:eastAsia="Calibri" w:hAnsiTheme="majorHAnsi" w:cstheme="majorHAnsi"/>
          <w:spacing w:val="24"/>
          <w:w w:val="99"/>
          <w:sz w:val="24"/>
          <w:szCs w:val="24"/>
        </w:rPr>
        <w:t xml:space="preserve"> </w:t>
      </w:r>
      <w:r w:rsidRPr="002E75D4">
        <w:rPr>
          <w:rFonts w:asciiTheme="majorHAnsi" w:eastAsia="Calibri" w:hAnsiTheme="majorHAnsi" w:cstheme="majorHAnsi"/>
          <w:sz w:val="24"/>
          <w:szCs w:val="24"/>
        </w:rPr>
        <w:t>séquestration</w:t>
      </w:r>
      <w:r w:rsidRPr="002E75D4">
        <w:rPr>
          <w:rFonts w:asciiTheme="majorHAnsi" w:eastAsia="Calibri" w:hAnsiTheme="majorHAnsi" w:cstheme="majorHAnsi"/>
          <w:spacing w:val="8"/>
          <w:sz w:val="24"/>
          <w:szCs w:val="24"/>
        </w:rPr>
        <w:t xml:space="preserve"> </w:t>
      </w:r>
      <w:r w:rsidRPr="002E75D4">
        <w:rPr>
          <w:rFonts w:asciiTheme="majorHAnsi" w:eastAsia="Calibri" w:hAnsiTheme="majorHAnsi" w:cstheme="majorHAnsi"/>
          <w:sz w:val="24"/>
          <w:szCs w:val="24"/>
        </w:rPr>
        <w:t>des</w:t>
      </w:r>
      <w:r w:rsidRPr="002E75D4">
        <w:rPr>
          <w:rFonts w:asciiTheme="majorHAnsi" w:eastAsia="Calibri" w:hAnsiTheme="majorHAnsi" w:cstheme="majorHAnsi"/>
          <w:spacing w:val="9"/>
          <w:sz w:val="24"/>
          <w:szCs w:val="24"/>
        </w:rPr>
        <w:t xml:space="preserve"> </w:t>
      </w:r>
      <w:r w:rsidRPr="002E75D4">
        <w:rPr>
          <w:rFonts w:asciiTheme="majorHAnsi" w:eastAsia="Calibri" w:hAnsiTheme="majorHAnsi" w:cstheme="majorHAnsi"/>
          <w:spacing w:val="-1"/>
          <w:sz w:val="24"/>
          <w:szCs w:val="24"/>
        </w:rPr>
        <w:t>GES,</w:t>
      </w:r>
      <w:r w:rsidRPr="002E75D4">
        <w:rPr>
          <w:rFonts w:asciiTheme="majorHAnsi" w:eastAsia="Calibri" w:hAnsiTheme="majorHAnsi" w:cstheme="majorHAnsi"/>
          <w:spacing w:val="9"/>
          <w:sz w:val="24"/>
          <w:szCs w:val="24"/>
        </w:rPr>
        <w:t xml:space="preserve"> </w:t>
      </w:r>
      <w:r w:rsidRPr="002E75D4">
        <w:rPr>
          <w:rFonts w:asciiTheme="majorHAnsi" w:eastAsia="Calibri" w:hAnsiTheme="majorHAnsi" w:cstheme="majorHAnsi"/>
          <w:sz w:val="24"/>
          <w:szCs w:val="24"/>
        </w:rPr>
        <w:t>d’une</w:t>
      </w:r>
      <w:r w:rsidRPr="002E75D4">
        <w:rPr>
          <w:rFonts w:asciiTheme="majorHAnsi" w:eastAsia="Calibri" w:hAnsiTheme="majorHAnsi" w:cstheme="majorHAnsi"/>
          <w:spacing w:val="9"/>
          <w:sz w:val="24"/>
          <w:szCs w:val="24"/>
        </w:rPr>
        <w:t xml:space="preserve"> </w:t>
      </w:r>
      <w:r w:rsidRPr="002E75D4">
        <w:rPr>
          <w:rFonts w:asciiTheme="majorHAnsi" w:eastAsia="Calibri" w:hAnsiTheme="majorHAnsi" w:cstheme="majorHAnsi"/>
          <w:sz w:val="24"/>
          <w:szCs w:val="24"/>
        </w:rPr>
        <w:t>valeur</w:t>
      </w:r>
      <w:r w:rsidRPr="002E75D4">
        <w:rPr>
          <w:rFonts w:asciiTheme="majorHAnsi" w:eastAsia="Calibri" w:hAnsiTheme="majorHAnsi" w:cstheme="majorHAnsi"/>
          <w:spacing w:val="8"/>
          <w:sz w:val="24"/>
          <w:szCs w:val="24"/>
        </w:rPr>
        <w:t xml:space="preserve"> </w:t>
      </w:r>
      <w:r w:rsidRPr="002E75D4">
        <w:rPr>
          <w:rFonts w:asciiTheme="majorHAnsi" w:eastAsia="Calibri" w:hAnsiTheme="majorHAnsi" w:cstheme="majorHAnsi"/>
          <w:sz w:val="24"/>
          <w:szCs w:val="24"/>
        </w:rPr>
        <w:t>de</w:t>
      </w:r>
      <w:r w:rsidRPr="002E75D4">
        <w:rPr>
          <w:rFonts w:asciiTheme="majorHAnsi" w:eastAsia="Calibri" w:hAnsiTheme="majorHAnsi" w:cstheme="majorHAnsi"/>
          <w:spacing w:val="9"/>
          <w:sz w:val="24"/>
          <w:szCs w:val="24"/>
        </w:rPr>
        <w:t xml:space="preserve"> </w:t>
      </w:r>
      <w:r w:rsidRPr="002E75D4">
        <w:rPr>
          <w:rFonts w:asciiTheme="majorHAnsi" w:hAnsiTheme="majorHAnsi" w:cstheme="majorHAnsi"/>
          <w:bCs/>
        </w:rPr>
        <w:t xml:space="preserve">-296 483 </w:t>
      </w:r>
      <w:r w:rsidRPr="002E75D4">
        <w:rPr>
          <w:rFonts w:asciiTheme="majorHAnsi" w:hAnsiTheme="majorHAnsi" w:cstheme="majorHAnsi"/>
          <w:bCs/>
          <w:sz w:val="24"/>
          <w:szCs w:val="24"/>
        </w:rPr>
        <w:t>Kilo</w:t>
      </w:r>
      <w:r w:rsidRPr="002E75D4">
        <w:rPr>
          <w:rFonts w:asciiTheme="majorHAnsi" w:hAnsiTheme="majorHAnsi" w:cstheme="majorHAnsi"/>
          <w:bCs/>
          <w:spacing w:val="22"/>
          <w:sz w:val="24"/>
          <w:szCs w:val="24"/>
        </w:rPr>
        <w:t xml:space="preserve"> </w:t>
      </w:r>
      <w:r w:rsidRPr="002E75D4">
        <w:rPr>
          <w:rFonts w:asciiTheme="majorHAnsi" w:hAnsiTheme="majorHAnsi" w:cstheme="majorHAnsi"/>
          <w:bCs/>
          <w:sz w:val="24"/>
          <w:szCs w:val="24"/>
        </w:rPr>
        <w:t>Tonnes</w:t>
      </w:r>
      <w:r w:rsidRPr="002E75D4">
        <w:rPr>
          <w:rFonts w:asciiTheme="majorHAnsi" w:hAnsiTheme="majorHAnsi" w:cstheme="majorHAnsi"/>
          <w:bCs/>
          <w:spacing w:val="22"/>
          <w:sz w:val="24"/>
          <w:szCs w:val="24"/>
        </w:rPr>
        <w:t xml:space="preserve"> </w:t>
      </w:r>
      <w:r w:rsidRPr="002E75D4">
        <w:rPr>
          <w:rFonts w:asciiTheme="majorHAnsi" w:hAnsiTheme="majorHAnsi" w:cstheme="majorHAnsi"/>
          <w:bCs/>
          <w:sz w:val="24"/>
          <w:szCs w:val="24"/>
        </w:rPr>
        <w:t>de</w:t>
      </w:r>
      <w:r w:rsidRPr="002E75D4">
        <w:rPr>
          <w:rFonts w:asciiTheme="majorHAnsi" w:hAnsiTheme="majorHAnsi" w:cstheme="majorHAnsi"/>
          <w:bCs/>
          <w:spacing w:val="22"/>
          <w:sz w:val="24"/>
          <w:szCs w:val="24"/>
        </w:rPr>
        <w:t xml:space="preserve"> </w:t>
      </w:r>
      <w:r w:rsidRPr="002E75D4">
        <w:rPr>
          <w:rFonts w:asciiTheme="majorHAnsi" w:hAnsiTheme="majorHAnsi" w:cstheme="majorHAnsi"/>
          <w:bCs/>
          <w:sz w:val="24"/>
          <w:szCs w:val="24"/>
        </w:rPr>
        <w:t>CO2</w:t>
      </w:r>
      <w:r w:rsidRPr="002E75D4">
        <w:rPr>
          <w:rFonts w:asciiTheme="majorHAnsi" w:hAnsiTheme="majorHAnsi" w:cstheme="majorHAnsi"/>
          <w:bCs/>
          <w:spacing w:val="21"/>
          <w:sz w:val="24"/>
          <w:szCs w:val="24"/>
        </w:rPr>
        <w:t xml:space="preserve"> en 2030</w:t>
      </w:r>
      <w:r w:rsidRPr="002E75D4">
        <w:rPr>
          <w:rFonts w:asciiTheme="majorHAnsi" w:eastAsia="Calibri" w:hAnsiTheme="majorHAnsi" w:cstheme="majorHAnsi"/>
          <w:sz w:val="24"/>
          <w:szCs w:val="24"/>
        </w:rPr>
        <w:t>,</w:t>
      </w:r>
      <w:r w:rsidRPr="002E75D4">
        <w:rPr>
          <w:rFonts w:asciiTheme="majorHAnsi" w:eastAsia="Calibri" w:hAnsiTheme="majorHAnsi" w:cstheme="majorHAnsi"/>
          <w:spacing w:val="8"/>
          <w:sz w:val="24"/>
          <w:szCs w:val="24"/>
        </w:rPr>
        <w:t xml:space="preserve"> </w:t>
      </w:r>
      <w:r w:rsidRPr="002E75D4">
        <w:rPr>
          <w:rFonts w:asciiTheme="majorHAnsi" w:eastAsia="Calibri" w:hAnsiTheme="majorHAnsi" w:cstheme="majorHAnsi"/>
          <w:sz w:val="24"/>
          <w:szCs w:val="24"/>
        </w:rPr>
        <w:t>qui</w:t>
      </w:r>
      <w:r w:rsidRPr="002E75D4">
        <w:rPr>
          <w:rFonts w:asciiTheme="majorHAnsi" w:eastAsia="Calibri" w:hAnsiTheme="majorHAnsi" w:cstheme="majorHAnsi"/>
          <w:spacing w:val="9"/>
          <w:sz w:val="24"/>
          <w:szCs w:val="24"/>
        </w:rPr>
        <w:t xml:space="preserve"> </w:t>
      </w:r>
      <w:r w:rsidRPr="002E75D4">
        <w:rPr>
          <w:rFonts w:asciiTheme="majorHAnsi" w:eastAsia="Calibri" w:hAnsiTheme="majorHAnsi" w:cstheme="majorHAnsi"/>
          <w:sz w:val="24"/>
          <w:szCs w:val="24"/>
        </w:rPr>
        <w:t>permet</w:t>
      </w:r>
      <w:r w:rsidRPr="002E75D4">
        <w:rPr>
          <w:rFonts w:asciiTheme="majorHAnsi" w:eastAsia="Calibri" w:hAnsiTheme="majorHAnsi" w:cstheme="majorHAnsi"/>
          <w:spacing w:val="9"/>
          <w:sz w:val="24"/>
          <w:szCs w:val="24"/>
        </w:rPr>
        <w:t xml:space="preserve"> </w:t>
      </w:r>
      <w:r w:rsidRPr="002E75D4">
        <w:rPr>
          <w:rFonts w:asciiTheme="majorHAnsi" w:eastAsia="Calibri" w:hAnsiTheme="majorHAnsi" w:cstheme="majorHAnsi"/>
          <w:sz w:val="24"/>
          <w:szCs w:val="24"/>
        </w:rPr>
        <w:t>au</w:t>
      </w:r>
      <w:r w:rsidRPr="002E75D4">
        <w:rPr>
          <w:rFonts w:asciiTheme="majorHAnsi" w:eastAsia="Calibri" w:hAnsiTheme="majorHAnsi" w:cstheme="majorHAnsi"/>
          <w:spacing w:val="23"/>
          <w:sz w:val="24"/>
          <w:szCs w:val="24"/>
        </w:rPr>
        <w:t xml:space="preserve"> </w:t>
      </w:r>
      <w:r w:rsidRPr="002E75D4">
        <w:rPr>
          <w:rFonts w:asciiTheme="majorHAnsi" w:eastAsia="Calibri" w:hAnsiTheme="majorHAnsi" w:cstheme="majorHAnsi"/>
          <w:sz w:val="24"/>
          <w:szCs w:val="24"/>
        </w:rPr>
        <w:t>Mali</w:t>
      </w:r>
      <w:r w:rsidRPr="002E75D4">
        <w:rPr>
          <w:rFonts w:asciiTheme="majorHAnsi" w:eastAsia="Calibri" w:hAnsiTheme="majorHAnsi" w:cstheme="majorHAnsi"/>
          <w:spacing w:val="-2"/>
          <w:sz w:val="24"/>
          <w:szCs w:val="24"/>
        </w:rPr>
        <w:t xml:space="preserve"> </w:t>
      </w:r>
      <w:r w:rsidRPr="002E75D4">
        <w:rPr>
          <w:rFonts w:asciiTheme="majorHAnsi" w:eastAsia="Calibri" w:hAnsiTheme="majorHAnsi" w:cstheme="majorHAnsi"/>
          <w:sz w:val="24"/>
          <w:szCs w:val="24"/>
        </w:rPr>
        <w:t>de se maintenir comme « un</w:t>
      </w:r>
      <w:r w:rsidRPr="002E75D4">
        <w:rPr>
          <w:rFonts w:asciiTheme="majorHAnsi" w:eastAsia="Calibri" w:hAnsiTheme="majorHAnsi" w:cstheme="majorHAnsi"/>
          <w:spacing w:val="-2"/>
          <w:sz w:val="24"/>
          <w:szCs w:val="24"/>
        </w:rPr>
        <w:t xml:space="preserve"> </w:t>
      </w:r>
      <w:r w:rsidRPr="002E75D4">
        <w:rPr>
          <w:rFonts w:asciiTheme="majorHAnsi" w:eastAsia="Calibri" w:hAnsiTheme="majorHAnsi" w:cstheme="majorHAnsi"/>
          <w:sz w:val="24"/>
          <w:szCs w:val="24"/>
        </w:rPr>
        <w:t>puits</w:t>
      </w:r>
      <w:r w:rsidRPr="002E75D4">
        <w:rPr>
          <w:rFonts w:asciiTheme="majorHAnsi" w:eastAsia="Calibri" w:hAnsiTheme="majorHAnsi" w:cstheme="majorHAnsi"/>
          <w:spacing w:val="-2"/>
          <w:sz w:val="24"/>
          <w:szCs w:val="24"/>
        </w:rPr>
        <w:t xml:space="preserve"> </w:t>
      </w:r>
      <w:r w:rsidRPr="002E75D4">
        <w:rPr>
          <w:rFonts w:asciiTheme="majorHAnsi" w:eastAsia="Calibri" w:hAnsiTheme="majorHAnsi" w:cstheme="majorHAnsi"/>
          <w:sz w:val="24"/>
          <w:szCs w:val="24"/>
        </w:rPr>
        <w:t>de</w:t>
      </w:r>
      <w:r w:rsidRPr="002E75D4">
        <w:rPr>
          <w:rFonts w:asciiTheme="majorHAnsi" w:eastAsia="Calibri" w:hAnsiTheme="majorHAnsi" w:cstheme="majorHAnsi"/>
          <w:spacing w:val="-3"/>
          <w:sz w:val="24"/>
          <w:szCs w:val="24"/>
        </w:rPr>
        <w:t xml:space="preserve"> </w:t>
      </w:r>
      <w:r w:rsidRPr="002E75D4">
        <w:rPr>
          <w:rFonts w:asciiTheme="majorHAnsi" w:eastAsia="Calibri" w:hAnsiTheme="majorHAnsi" w:cstheme="majorHAnsi"/>
          <w:spacing w:val="-1"/>
          <w:sz w:val="24"/>
          <w:szCs w:val="24"/>
        </w:rPr>
        <w:t xml:space="preserve">carbone » et ceci même dans le scénario de base </w:t>
      </w:r>
      <w:r w:rsidRPr="002E75D4">
        <w:rPr>
          <w:rFonts w:asciiTheme="majorHAnsi" w:eastAsia="Calibri" w:hAnsiTheme="majorHAnsi" w:cstheme="majorHAnsi"/>
          <w:bCs/>
          <w:spacing w:val="-1"/>
          <w:sz w:val="24"/>
          <w:szCs w:val="24"/>
        </w:rPr>
        <w:t>(</w:t>
      </w:r>
      <w:r w:rsidRPr="002E75D4">
        <w:rPr>
          <w:rFonts w:asciiTheme="majorHAnsi" w:hAnsiTheme="majorHAnsi" w:cstheme="majorHAnsi"/>
          <w:bCs/>
        </w:rPr>
        <w:t xml:space="preserve">-211 864 </w:t>
      </w:r>
      <w:r w:rsidRPr="002E75D4">
        <w:rPr>
          <w:rFonts w:asciiTheme="majorHAnsi" w:hAnsiTheme="majorHAnsi" w:cstheme="majorHAnsi"/>
          <w:bCs/>
          <w:spacing w:val="22"/>
          <w:sz w:val="24"/>
          <w:szCs w:val="24"/>
        </w:rPr>
        <w:t xml:space="preserve">Tonnes </w:t>
      </w:r>
      <w:r w:rsidRPr="002E75D4">
        <w:rPr>
          <w:rFonts w:asciiTheme="majorHAnsi" w:hAnsiTheme="majorHAnsi" w:cstheme="majorHAnsi"/>
          <w:bCs/>
          <w:sz w:val="24"/>
          <w:szCs w:val="24"/>
        </w:rPr>
        <w:t>de</w:t>
      </w:r>
      <w:r w:rsidRPr="002E75D4">
        <w:rPr>
          <w:rFonts w:asciiTheme="majorHAnsi" w:hAnsiTheme="majorHAnsi" w:cstheme="majorHAnsi"/>
          <w:bCs/>
          <w:spacing w:val="22"/>
          <w:sz w:val="24"/>
          <w:szCs w:val="24"/>
        </w:rPr>
        <w:t xml:space="preserve"> </w:t>
      </w:r>
      <w:r w:rsidRPr="002E75D4">
        <w:rPr>
          <w:rFonts w:asciiTheme="majorHAnsi" w:hAnsiTheme="majorHAnsi" w:cstheme="majorHAnsi"/>
          <w:bCs/>
          <w:sz w:val="24"/>
          <w:szCs w:val="24"/>
        </w:rPr>
        <w:t>CO2)</w:t>
      </w:r>
      <w:bookmarkEnd w:id="11"/>
    </w:p>
    <w:p w14:paraId="07180DE4" w14:textId="77777777" w:rsidR="00C03EC4" w:rsidRPr="002E75D4" w:rsidRDefault="00C03EC4" w:rsidP="00C03EC4">
      <w:pPr>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La figure 15 ci-après résume l’évolution des émissions et atténuation globales de GES pour l’ensemble des quatre secteurs et sur la période 2020 – 2030 (Scénarios de Base et d’atténuation).</w:t>
      </w:r>
    </w:p>
    <w:p w14:paraId="40D9925C" w14:textId="77777777" w:rsidR="00C03EC4" w:rsidRPr="002E75D4" w:rsidRDefault="00C03EC4" w:rsidP="00C03EC4">
      <w:pPr>
        <w:jc w:val="both"/>
        <w:rPr>
          <w:rFonts w:asciiTheme="majorHAnsi" w:eastAsia="Calibri" w:hAnsiTheme="majorHAnsi" w:cstheme="majorHAnsi"/>
          <w:sz w:val="24"/>
          <w:szCs w:val="24"/>
        </w:rPr>
      </w:pPr>
      <w:r w:rsidRPr="002E75D4">
        <w:rPr>
          <w:rFonts w:asciiTheme="majorHAnsi" w:hAnsiTheme="majorHAnsi" w:cstheme="majorHAnsi"/>
          <w:noProof/>
          <w:lang w:eastAsia="fr-FR"/>
        </w:rPr>
        <w:drawing>
          <wp:inline distT="0" distB="0" distL="0" distR="0" wp14:anchorId="036BBC47" wp14:editId="5722AB96">
            <wp:extent cx="6117465" cy="3030828"/>
            <wp:effectExtent l="0" t="0" r="17145" b="1778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D0A58A" w14:textId="77777777" w:rsidR="00C03EC4" w:rsidRPr="002E75D4" w:rsidRDefault="00C03EC4" w:rsidP="00C03EC4">
      <w:pPr>
        <w:pStyle w:val="Lgende"/>
        <w:ind w:left="-426" w:right="-569"/>
        <w:rPr>
          <w:rFonts w:asciiTheme="majorHAnsi" w:hAnsiTheme="majorHAnsi" w:cstheme="majorHAnsi"/>
          <w:b w:val="0"/>
          <w:bCs w:val="0"/>
          <w:sz w:val="22"/>
          <w:szCs w:val="22"/>
          <w:highlight w:val="yellow"/>
        </w:rPr>
      </w:pPr>
      <w:r w:rsidRPr="002E75D4">
        <w:rPr>
          <w:rFonts w:asciiTheme="majorHAnsi" w:hAnsiTheme="majorHAnsi" w:cstheme="majorHAnsi"/>
          <w:bCs w:val="0"/>
          <w:sz w:val="22"/>
          <w:szCs w:val="22"/>
        </w:rPr>
        <w:t xml:space="preserve">              </w:t>
      </w:r>
      <w:r w:rsidRPr="00B13E5A">
        <w:rPr>
          <w:rFonts w:asciiTheme="majorHAnsi" w:hAnsiTheme="majorHAnsi" w:cstheme="majorHAnsi"/>
          <w:bCs w:val="0"/>
          <w:sz w:val="22"/>
          <w:szCs w:val="22"/>
          <w:u w:val="single"/>
        </w:rPr>
        <w:t>Figure 15</w:t>
      </w:r>
      <w:r w:rsidRPr="002E75D4">
        <w:rPr>
          <w:rFonts w:asciiTheme="majorHAnsi" w:hAnsiTheme="majorHAnsi" w:cstheme="majorHAnsi"/>
          <w:bCs w:val="0"/>
          <w:sz w:val="22"/>
          <w:szCs w:val="22"/>
        </w:rPr>
        <w:t xml:space="preserve"> :</w:t>
      </w:r>
      <w:r w:rsidRPr="002E75D4">
        <w:rPr>
          <w:rFonts w:asciiTheme="majorHAnsi" w:hAnsiTheme="majorHAnsi" w:cstheme="majorHAnsi"/>
          <w:b w:val="0"/>
          <w:bCs w:val="0"/>
          <w:sz w:val="22"/>
          <w:szCs w:val="22"/>
        </w:rPr>
        <w:t xml:space="preserve"> Evolution des Emissions et Atténuations Globales Nettes pour l’ensemble des secteurs</w:t>
      </w:r>
    </w:p>
    <w:p w14:paraId="606BA255" w14:textId="77777777" w:rsidR="00C03EC4" w:rsidRPr="002E75D4" w:rsidRDefault="00C03EC4" w:rsidP="00C03EC4">
      <w:pPr>
        <w:pStyle w:val="Corpsdetexte"/>
        <w:ind w:left="133" w:right="142"/>
        <w:rPr>
          <w:rFonts w:asciiTheme="majorHAnsi" w:hAnsiTheme="majorHAnsi" w:cstheme="majorHAnsi"/>
          <w:i w:val="0"/>
          <w:sz w:val="24"/>
          <w:szCs w:val="24"/>
          <w:highlight w:val="yellow"/>
          <w:lang w:val="fr-FR"/>
        </w:rPr>
      </w:pPr>
    </w:p>
    <w:p w14:paraId="1C3F72D2" w14:textId="77777777" w:rsidR="00C03EC4" w:rsidRPr="002E75D4" w:rsidRDefault="00C03EC4" w:rsidP="00C03EC4">
      <w:pPr>
        <w:pStyle w:val="Corpsdetexte"/>
        <w:ind w:right="142"/>
        <w:rPr>
          <w:rFonts w:asciiTheme="majorHAnsi" w:hAnsiTheme="majorHAnsi" w:cstheme="majorHAnsi"/>
          <w:i w:val="0"/>
          <w:spacing w:val="2"/>
          <w:sz w:val="24"/>
          <w:szCs w:val="24"/>
          <w:lang w:val="fr-FR"/>
        </w:rPr>
      </w:pPr>
      <w:r w:rsidRPr="002E75D4">
        <w:rPr>
          <w:rFonts w:asciiTheme="majorHAnsi" w:hAnsiTheme="majorHAnsi" w:cstheme="majorHAnsi"/>
          <w:i w:val="0"/>
          <w:sz w:val="24"/>
          <w:szCs w:val="24"/>
          <w:lang w:val="fr-FR"/>
        </w:rPr>
        <w:t>Le</w:t>
      </w:r>
      <w:r w:rsidRPr="002E75D4">
        <w:rPr>
          <w:rFonts w:asciiTheme="majorHAnsi" w:hAnsiTheme="majorHAnsi" w:cstheme="majorHAnsi"/>
          <w:i w:val="0"/>
          <w:spacing w:val="1"/>
          <w:sz w:val="24"/>
          <w:szCs w:val="24"/>
          <w:lang w:val="fr-FR"/>
        </w:rPr>
        <w:t xml:space="preserve"> </w:t>
      </w:r>
      <w:r w:rsidRPr="002E75D4">
        <w:rPr>
          <w:rFonts w:asciiTheme="majorHAnsi" w:hAnsiTheme="majorHAnsi" w:cstheme="majorHAnsi"/>
          <w:i w:val="0"/>
          <w:sz w:val="24"/>
          <w:szCs w:val="24"/>
          <w:lang w:val="fr-FR"/>
        </w:rPr>
        <w:t>scénario</w:t>
      </w:r>
      <w:r w:rsidRPr="002E75D4">
        <w:rPr>
          <w:rFonts w:asciiTheme="majorHAnsi" w:hAnsiTheme="majorHAnsi" w:cstheme="majorHAnsi"/>
          <w:i w:val="0"/>
          <w:spacing w:val="2"/>
          <w:sz w:val="24"/>
          <w:szCs w:val="24"/>
          <w:lang w:val="fr-FR"/>
        </w:rPr>
        <w:t xml:space="preserve"> </w:t>
      </w:r>
      <w:r w:rsidRPr="002E75D4">
        <w:rPr>
          <w:rFonts w:asciiTheme="majorHAnsi" w:hAnsiTheme="majorHAnsi" w:cstheme="majorHAnsi"/>
          <w:i w:val="0"/>
          <w:sz w:val="24"/>
          <w:szCs w:val="24"/>
          <w:lang w:val="fr-FR"/>
        </w:rPr>
        <w:t>de</w:t>
      </w:r>
      <w:r w:rsidRPr="002E75D4">
        <w:rPr>
          <w:rFonts w:asciiTheme="majorHAnsi" w:hAnsiTheme="majorHAnsi" w:cstheme="majorHAnsi"/>
          <w:i w:val="0"/>
          <w:spacing w:val="1"/>
          <w:sz w:val="24"/>
          <w:szCs w:val="24"/>
          <w:lang w:val="fr-FR"/>
        </w:rPr>
        <w:t xml:space="preserve"> </w:t>
      </w:r>
      <w:r w:rsidRPr="002E75D4">
        <w:rPr>
          <w:rFonts w:asciiTheme="majorHAnsi" w:hAnsiTheme="majorHAnsi" w:cstheme="majorHAnsi"/>
          <w:i w:val="0"/>
          <w:sz w:val="24"/>
          <w:szCs w:val="24"/>
          <w:lang w:val="fr-FR"/>
        </w:rPr>
        <w:t>base</w:t>
      </w:r>
      <w:r w:rsidRPr="002E75D4">
        <w:rPr>
          <w:rFonts w:asciiTheme="majorHAnsi" w:hAnsiTheme="majorHAnsi" w:cstheme="majorHAnsi"/>
          <w:i w:val="0"/>
          <w:spacing w:val="2"/>
          <w:sz w:val="24"/>
          <w:szCs w:val="24"/>
          <w:lang w:val="fr-FR"/>
        </w:rPr>
        <w:t xml:space="preserve"> </w:t>
      </w:r>
      <w:r w:rsidRPr="002E75D4">
        <w:rPr>
          <w:rFonts w:asciiTheme="majorHAnsi" w:hAnsiTheme="majorHAnsi" w:cstheme="majorHAnsi"/>
          <w:i w:val="0"/>
          <w:sz w:val="24"/>
          <w:szCs w:val="24"/>
          <w:lang w:val="fr-FR"/>
        </w:rPr>
        <w:t>montre</w:t>
      </w:r>
      <w:r w:rsidRPr="002E75D4">
        <w:rPr>
          <w:rFonts w:asciiTheme="majorHAnsi" w:hAnsiTheme="majorHAnsi" w:cstheme="majorHAnsi"/>
          <w:i w:val="0"/>
          <w:spacing w:val="2"/>
          <w:sz w:val="24"/>
          <w:szCs w:val="24"/>
          <w:lang w:val="fr-FR"/>
        </w:rPr>
        <w:t xml:space="preserve"> </w:t>
      </w:r>
      <w:r w:rsidRPr="002E75D4">
        <w:rPr>
          <w:rFonts w:asciiTheme="majorHAnsi" w:hAnsiTheme="majorHAnsi" w:cstheme="majorHAnsi"/>
          <w:i w:val="0"/>
          <w:sz w:val="24"/>
          <w:szCs w:val="24"/>
          <w:lang w:val="fr-FR"/>
        </w:rPr>
        <w:t>que</w:t>
      </w:r>
      <w:r w:rsidRPr="002E75D4">
        <w:rPr>
          <w:rFonts w:asciiTheme="majorHAnsi" w:hAnsiTheme="majorHAnsi" w:cstheme="majorHAnsi"/>
          <w:i w:val="0"/>
          <w:spacing w:val="1"/>
          <w:sz w:val="24"/>
          <w:szCs w:val="24"/>
          <w:lang w:val="fr-FR"/>
        </w:rPr>
        <w:t xml:space="preserve"> </w:t>
      </w:r>
      <w:r w:rsidRPr="002E75D4">
        <w:rPr>
          <w:rFonts w:asciiTheme="majorHAnsi" w:hAnsiTheme="majorHAnsi" w:cstheme="majorHAnsi"/>
          <w:i w:val="0"/>
          <w:sz w:val="24"/>
          <w:szCs w:val="24"/>
          <w:lang w:val="fr-FR"/>
        </w:rPr>
        <w:t>les</w:t>
      </w:r>
      <w:r w:rsidRPr="002E75D4">
        <w:rPr>
          <w:rFonts w:asciiTheme="majorHAnsi" w:hAnsiTheme="majorHAnsi" w:cstheme="majorHAnsi"/>
          <w:i w:val="0"/>
          <w:spacing w:val="2"/>
          <w:sz w:val="24"/>
          <w:szCs w:val="24"/>
          <w:lang w:val="fr-FR"/>
        </w:rPr>
        <w:t xml:space="preserve"> </w:t>
      </w:r>
      <w:r w:rsidRPr="002E75D4">
        <w:rPr>
          <w:rFonts w:asciiTheme="majorHAnsi" w:hAnsiTheme="majorHAnsi" w:cstheme="majorHAnsi"/>
          <w:i w:val="0"/>
          <w:sz w:val="24"/>
          <w:szCs w:val="24"/>
          <w:lang w:val="fr-FR"/>
        </w:rPr>
        <w:t>émissions globales nettes</w:t>
      </w:r>
      <w:r w:rsidRPr="002E75D4">
        <w:rPr>
          <w:rFonts w:asciiTheme="majorHAnsi" w:hAnsiTheme="majorHAnsi" w:cstheme="majorHAnsi"/>
          <w:i w:val="0"/>
          <w:spacing w:val="2"/>
          <w:sz w:val="24"/>
          <w:szCs w:val="24"/>
          <w:lang w:val="fr-FR"/>
        </w:rPr>
        <w:t xml:space="preserve"> </w:t>
      </w:r>
      <w:r w:rsidRPr="002E75D4">
        <w:rPr>
          <w:rFonts w:asciiTheme="majorHAnsi" w:hAnsiTheme="majorHAnsi" w:cstheme="majorHAnsi"/>
          <w:i w:val="0"/>
          <w:sz w:val="24"/>
          <w:szCs w:val="24"/>
          <w:lang w:val="fr-FR"/>
        </w:rPr>
        <w:t>de</w:t>
      </w:r>
      <w:r w:rsidRPr="002E75D4">
        <w:rPr>
          <w:rFonts w:asciiTheme="majorHAnsi" w:hAnsiTheme="majorHAnsi" w:cstheme="majorHAnsi"/>
          <w:i w:val="0"/>
          <w:spacing w:val="1"/>
          <w:sz w:val="24"/>
          <w:szCs w:val="24"/>
          <w:lang w:val="fr-FR"/>
        </w:rPr>
        <w:t xml:space="preserve"> </w:t>
      </w:r>
      <w:r w:rsidRPr="002E75D4">
        <w:rPr>
          <w:rFonts w:asciiTheme="majorHAnsi" w:hAnsiTheme="majorHAnsi" w:cstheme="majorHAnsi"/>
          <w:i w:val="0"/>
          <w:sz w:val="24"/>
          <w:szCs w:val="24"/>
          <w:lang w:val="fr-FR"/>
        </w:rPr>
        <w:t>GES</w:t>
      </w:r>
      <w:r w:rsidRPr="002E75D4">
        <w:rPr>
          <w:rFonts w:asciiTheme="majorHAnsi" w:hAnsiTheme="majorHAnsi" w:cstheme="majorHAnsi"/>
          <w:i w:val="0"/>
          <w:spacing w:val="2"/>
          <w:sz w:val="24"/>
          <w:szCs w:val="24"/>
          <w:lang w:val="fr-FR"/>
        </w:rPr>
        <w:t xml:space="preserve"> oscillent en </w:t>
      </w:r>
      <w:r w:rsidRPr="002E75D4">
        <w:rPr>
          <w:rFonts w:asciiTheme="majorHAnsi" w:hAnsiTheme="majorHAnsi" w:cstheme="majorHAnsi"/>
          <w:bCs/>
          <w:i w:val="0"/>
          <w:spacing w:val="2"/>
          <w:sz w:val="24"/>
          <w:szCs w:val="24"/>
          <w:lang w:val="fr-FR"/>
        </w:rPr>
        <w:t>-200.000 et- 250.000 kT eq CO2</w:t>
      </w:r>
      <w:r w:rsidRPr="002E75D4">
        <w:rPr>
          <w:rFonts w:asciiTheme="majorHAnsi" w:hAnsiTheme="majorHAnsi" w:cstheme="majorHAnsi"/>
          <w:i w:val="0"/>
          <w:spacing w:val="2"/>
          <w:sz w:val="24"/>
          <w:szCs w:val="24"/>
          <w:lang w:val="fr-FR"/>
        </w:rPr>
        <w:t xml:space="preserve"> jusqu’en 2030 où elles atteignent </w:t>
      </w:r>
      <w:r w:rsidRPr="002E75D4">
        <w:rPr>
          <w:rFonts w:asciiTheme="majorHAnsi" w:hAnsiTheme="majorHAnsi" w:cstheme="majorHAnsi"/>
          <w:bCs/>
          <w:i w:val="0"/>
          <w:sz w:val="24"/>
          <w:szCs w:val="24"/>
          <w:lang w:val="fr-FR" w:eastAsia="fr-FR"/>
        </w:rPr>
        <w:t xml:space="preserve">- 211 864 </w:t>
      </w:r>
      <w:r w:rsidRPr="002E75D4">
        <w:rPr>
          <w:rFonts w:asciiTheme="majorHAnsi" w:hAnsiTheme="majorHAnsi" w:cstheme="majorHAnsi"/>
          <w:bCs/>
          <w:i w:val="0"/>
          <w:spacing w:val="2"/>
          <w:sz w:val="24"/>
          <w:szCs w:val="24"/>
          <w:lang w:val="fr-FR"/>
        </w:rPr>
        <w:t>KT Eq CO2</w:t>
      </w:r>
      <w:r w:rsidRPr="002E75D4">
        <w:rPr>
          <w:rFonts w:asciiTheme="majorHAnsi" w:hAnsiTheme="majorHAnsi" w:cstheme="majorHAnsi"/>
          <w:i w:val="0"/>
          <w:spacing w:val="2"/>
          <w:sz w:val="24"/>
          <w:szCs w:val="24"/>
          <w:lang w:val="fr-FR"/>
        </w:rPr>
        <w:t xml:space="preserve"> pour l’ensemble des secteurs.</w:t>
      </w:r>
    </w:p>
    <w:p w14:paraId="492490E5" w14:textId="77777777" w:rsidR="00C03EC4" w:rsidRPr="002E75D4" w:rsidRDefault="00C03EC4" w:rsidP="00C03EC4">
      <w:pPr>
        <w:spacing w:line="240" w:lineRule="auto"/>
        <w:jc w:val="both"/>
        <w:rPr>
          <w:rFonts w:asciiTheme="majorHAnsi" w:hAnsiTheme="majorHAnsi" w:cstheme="majorHAnsi"/>
          <w:spacing w:val="2"/>
          <w:sz w:val="24"/>
          <w:szCs w:val="24"/>
        </w:rPr>
      </w:pPr>
      <w:r w:rsidRPr="002E75D4">
        <w:rPr>
          <w:rFonts w:asciiTheme="majorHAnsi" w:hAnsiTheme="majorHAnsi" w:cstheme="majorHAnsi"/>
          <w:spacing w:val="2"/>
          <w:sz w:val="24"/>
          <w:szCs w:val="24"/>
        </w:rPr>
        <w:t xml:space="preserve">Le scénario d’atténuation permettra de passer à </w:t>
      </w:r>
      <w:r w:rsidRPr="002E75D4">
        <w:rPr>
          <w:rFonts w:asciiTheme="majorHAnsi" w:hAnsiTheme="majorHAnsi" w:cstheme="majorHAnsi"/>
          <w:bCs/>
          <w:sz w:val="24"/>
          <w:szCs w:val="24"/>
        </w:rPr>
        <w:t>-296 483</w:t>
      </w:r>
      <w:r w:rsidRPr="002E75D4">
        <w:rPr>
          <w:rFonts w:asciiTheme="majorHAnsi" w:hAnsiTheme="majorHAnsi" w:cstheme="majorHAnsi"/>
          <w:bCs/>
          <w:spacing w:val="2"/>
          <w:sz w:val="24"/>
          <w:szCs w:val="24"/>
        </w:rPr>
        <w:t xml:space="preserve"> KT de CO2</w:t>
      </w:r>
      <w:r w:rsidRPr="002E75D4">
        <w:rPr>
          <w:rFonts w:asciiTheme="majorHAnsi" w:hAnsiTheme="majorHAnsi" w:cstheme="majorHAnsi"/>
          <w:spacing w:val="2"/>
          <w:sz w:val="24"/>
          <w:szCs w:val="24"/>
        </w:rPr>
        <w:t xml:space="preserve"> soit une amélioration de </w:t>
      </w:r>
      <w:r w:rsidRPr="002E75D4">
        <w:rPr>
          <w:rFonts w:asciiTheme="majorHAnsi" w:hAnsiTheme="majorHAnsi" w:cstheme="majorHAnsi"/>
          <w:bCs/>
          <w:spacing w:val="2"/>
          <w:sz w:val="24"/>
          <w:szCs w:val="24"/>
        </w:rPr>
        <w:t>39,9 %</w:t>
      </w:r>
      <w:r w:rsidRPr="002E75D4">
        <w:rPr>
          <w:rFonts w:asciiTheme="majorHAnsi" w:hAnsiTheme="majorHAnsi" w:cstheme="majorHAnsi"/>
          <w:spacing w:val="2"/>
          <w:sz w:val="24"/>
          <w:szCs w:val="24"/>
        </w:rPr>
        <w:t xml:space="preserve"> (</w:t>
      </w:r>
      <w:r w:rsidRPr="002E75D4">
        <w:rPr>
          <w:rFonts w:asciiTheme="majorHAnsi" w:hAnsiTheme="majorHAnsi" w:cstheme="majorHAnsi"/>
          <w:bCs/>
          <w:spacing w:val="2"/>
          <w:sz w:val="24"/>
          <w:szCs w:val="24"/>
        </w:rPr>
        <w:t>84 618 KT eq CO2</w:t>
      </w:r>
      <w:r w:rsidRPr="002E75D4">
        <w:rPr>
          <w:rFonts w:asciiTheme="majorHAnsi" w:hAnsiTheme="majorHAnsi" w:cstheme="majorHAnsi"/>
          <w:spacing w:val="2"/>
          <w:sz w:val="24"/>
          <w:szCs w:val="24"/>
        </w:rPr>
        <w:t>) de gain de réduction nette de carbone à l’horizon 2030</w:t>
      </w:r>
    </w:p>
    <w:p w14:paraId="1AD77A49" w14:textId="77777777" w:rsidR="00C03EC4" w:rsidRPr="00A021BD" w:rsidRDefault="00C03EC4" w:rsidP="00C03EC4">
      <w:pPr>
        <w:spacing w:after="120" w:line="240" w:lineRule="auto"/>
        <w:jc w:val="both"/>
        <w:rPr>
          <w:rFonts w:asciiTheme="majorHAnsi" w:hAnsiTheme="majorHAnsi" w:cstheme="majorHAnsi"/>
          <w:bCs/>
          <w:sz w:val="24"/>
          <w:szCs w:val="24"/>
        </w:rPr>
      </w:pPr>
      <w:r w:rsidRPr="00A021BD">
        <w:rPr>
          <w:rFonts w:asciiTheme="majorHAnsi" w:hAnsiTheme="majorHAnsi" w:cstheme="majorHAnsi"/>
          <w:bCs/>
          <w:sz w:val="24"/>
          <w:szCs w:val="24"/>
        </w:rPr>
        <w:t>Ces émissions globales de GES proviennent essentiellement du :</w:t>
      </w:r>
    </w:p>
    <w:p w14:paraId="577AF4DF" w14:textId="77777777" w:rsidR="00C03EC4" w:rsidRPr="002E75D4" w:rsidRDefault="00C03EC4" w:rsidP="00C03EC4">
      <w:pPr>
        <w:pStyle w:val="Paragraphedeliste"/>
        <w:numPr>
          <w:ilvl w:val="0"/>
          <w:numId w:val="47"/>
        </w:num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secteur AFAT (Agriculture, foresterie et changements d’affectation des terres) pour </w:t>
      </w:r>
      <w:r w:rsidRPr="002E75D4">
        <w:rPr>
          <w:rFonts w:asciiTheme="majorHAnsi" w:hAnsiTheme="majorHAnsi" w:cstheme="majorHAnsi"/>
          <w:bCs/>
          <w:sz w:val="24"/>
          <w:szCs w:val="24"/>
        </w:rPr>
        <w:t>66 %</w:t>
      </w:r>
      <w:r w:rsidRPr="002E75D4">
        <w:rPr>
          <w:rFonts w:asciiTheme="majorHAnsi" w:hAnsiTheme="majorHAnsi" w:cstheme="majorHAnsi"/>
          <w:sz w:val="24"/>
          <w:szCs w:val="24"/>
        </w:rPr>
        <w:t> ;</w:t>
      </w:r>
    </w:p>
    <w:p w14:paraId="2310EB40" w14:textId="77777777" w:rsidR="00C03EC4" w:rsidRPr="002E75D4" w:rsidRDefault="00C03EC4" w:rsidP="00C03EC4">
      <w:pPr>
        <w:pStyle w:val="Paragraphedeliste"/>
        <w:numPr>
          <w:ilvl w:val="0"/>
          <w:numId w:val="47"/>
        </w:num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secteur de l’énergie pour </w:t>
      </w:r>
      <w:r w:rsidRPr="002E75D4">
        <w:rPr>
          <w:rFonts w:asciiTheme="majorHAnsi" w:hAnsiTheme="majorHAnsi" w:cstheme="majorHAnsi"/>
          <w:bCs/>
          <w:sz w:val="24"/>
          <w:szCs w:val="24"/>
        </w:rPr>
        <w:t>32%</w:t>
      </w:r>
      <w:r w:rsidRPr="002E75D4">
        <w:rPr>
          <w:rFonts w:asciiTheme="majorHAnsi" w:hAnsiTheme="majorHAnsi" w:cstheme="majorHAnsi"/>
          <w:sz w:val="24"/>
          <w:szCs w:val="24"/>
        </w:rPr>
        <w:t> ;</w:t>
      </w:r>
    </w:p>
    <w:p w14:paraId="5B1DC0BA" w14:textId="77777777" w:rsidR="00C03EC4" w:rsidRPr="002E75D4" w:rsidRDefault="00C03EC4" w:rsidP="00C03EC4">
      <w:pPr>
        <w:pStyle w:val="Paragraphedeliste"/>
        <w:numPr>
          <w:ilvl w:val="0"/>
          <w:numId w:val="47"/>
        </w:num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secteur des déchet pour </w:t>
      </w:r>
      <w:r w:rsidRPr="002E75D4">
        <w:rPr>
          <w:rFonts w:asciiTheme="majorHAnsi" w:hAnsiTheme="majorHAnsi" w:cstheme="majorHAnsi"/>
          <w:bCs/>
          <w:sz w:val="24"/>
          <w:szCs w:val="24"/>
        </w:rPr>
        <w:t>2%</w:t>
      </w:r>
      <w:r w:rsidRPr="002E75D4">
        <w:rPr>
          <w:rFonts w:asciiTheme="majorHAnsi" w:hAnsiTheme="majorHAnsi" w:cstheme="majorHAnsi"/>
          <w:sz w:val="24"/>
          <w:szCs w:val="24"/>
        </w:rPr>
        <w:t xml:space="preserve">. </w:t>
      </w:r>
    </w:p>
    <w:p w14:paraId="1F778E8B"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Quant aux types de GES, les émissions sont dominées par le CO2 (</w:t>
      </w:r>
      <w:r w:rsidRPr="002E75D4">
        <w:rPr>
          <w:rFonts w:asciiTheme="majorHAnsi" w:hAnsiTheme="majorHAnsi" w:cstheme="majorHAnsi"/>
          <w:bCs/>
          <w:sz w:val="24"/>
          <w:szCs w:val="24"/>
        </w:rPr>
        <w:t>57%</w:t>
      </w:r>
      <w:r w:rsidRPr="002E75D4">
        <w:rPr>
          <w:rFonts w:asciiTheme="majorHAnsi" w:hAnsiTheme="majorHAnsi" w:cstheme="majorHAnsi"/>
          <w:sz w:val="24"/>
          <w:szCs w:val="24"/>
        </w:rPr>
        <w:t>) suivies du N2O (</w:t>
      </w:r>
      <w:r w:rsidRPr="002E75D4">
        <w:rPr>
          <w:rFonts w:asciiTheme="majorHAnsi" w:hAnsiTheme="majorHAnsi" w:cstheme="majorHAnsi"/>
          <w:bCs/>
          <w:sz w:val="24"/>
          <w:szCs w:val="24"/>
        </w:rPr>
        <w:t>23%</w:t>
      </w:r>
      <w:r w:rsidRPr="002E75D4">
        <w:rPr>
          <w:rFonts w:asciiTheme="majorHAnsi" w:hAnsiTheme="majorHAnsi" w:cstheme="majorHAnsi"/>
          <w:sz w:val="24"/>
          <w:szCs w:val="24"/>
        </w:rPr>
        <w:t>) et du CH4 (</w:t>
      </w:r>
      <w:r w:rsidRPr="002E75D4">
        <w:rPr>
          <w:rFonts w:asciiTheme="majorHAnsi" w:hAnsiTheme="majorHAnsi" w:cstheme="majorHAnsi"/>
          <w:bCs/>
          <w:sz w:val="24"/>
          <w:szCs w:val="24"/>
        </w:rPr>
        <w:t>moins 1%</w:t>
      </w:r>
      <w:r w:rsidRPr="002E75D4">
        <w:rPr>
          <w:rFonts w:asciiTheme="majorHAnsi" w:hAnsiTheme="majorHAnsi" w:cstheme="majorHAnsi"/>
          <w:sz w:val="24"/>
          <w:szCs w:val="24"/>
        </w:rPr>
        <w:t>).</w:t>
      </w:r>
    </w:p>
    <w:p w14:paraId="48A41E59"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diagramme ci-après, présente la situation des émissions globales par secteur d’activités et par types de GES</w:t>
      </w:r>
    </w:p>
    <w:p w14:paraId="5B2D0A7B"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noProof/>
          <w:lang w:eastAsia="fr-FR"/>
        </w:rPr>
        <w:drawing>
          <wp:inline distT="0" distB="0" distL="0" distR="0" wp14:anchorId="681D7162" wp14:editId="4C9398EA">
            <wp:extent cx="6117465" cy="2794715"/>
            <wp:effectExtent l="0" t="0" r="17145" b="2476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F7FBD4" w14:textId="77777777" w:rsidR="00C03EC4" w:rsidRPr="002E75D4" w:rsidRDefault="00C03EC4" w:rsidP="00C03EC4">
      <w:pPr>
        <w:pStyle w:val="Lgende"/>
        <w:rPr>
          <w:rFonts w:asciiTheme="majorHAnsi" w:hAnsiTheme="majorHAnsi" w:cstheme="majorHAnsi"/>
          <w:b w:val="0"/>
          <w:bCs w:val="0"/>
          <w:sz w:val="22"/>
          <w:szCs w:val="22"/>
        </w:rPr>
      </w:pPr>
      <w:r w:rsidRPr="002E75D4">
        <w:rPr>
          <w:rFonts w:asciiTheme="majorHAnsi" w:hAnsiTheme="majorHAnsi" w:cstheme="majorHAnsi"/>
          <w:bCs w:val="0"/>
          <w:sz w:val="22"/>
          <w:szCs w:val="22"/>
        </w:rPr>
        <w:t xml:space="preserve">                        </w:t>
      </w:r>
      <w:r w:rsidRPr="00B13E5A">
        <w:rPr>
          <w:rFonts w:asciiTheme="majorHAnsi" w:hAnsiTheme="majorHAnsi" w:cstheme="majorHAnsi"/>
          <w:bCs w:val="0"/>
          <w:sz w:val="22"/>
          <w:szCs w:val="22"/>
          <w:u w:val="single"/>
        </w:rPr>
        <w:t>Figure 16</w:t>
      </w:r>
      <w:r w:rsidRPr="002E75D4">
        <w:rPr>
          <w:rFonts w:asciiTheme="majorHAnsi" w:hAnsiTheme="majorHAnsi" w:cstheme="majorHAnsi"/>
          <w:bCs w:val="0"/>
          <w:sz w:val="22"/>
          <w:szCs w:val="22"/>
        </w:rPr>
        <w:t xml:space="preserve"> :</w:t>
      </w:r>
      <w:r w:rsidRPr="002E75D4">
        <w:rPr>
          <w:rFonts w:asciiTheme="majorHAnsi" w:hAnsiTheme="majorHAnsi" w:cstheme="majorHAnsi"/>
          <w:b w:val="0"/>
          <w:bCs w:val="0"/>
          <w:sz w:val="22"/>
          <w:szCs w:val="22"/>
        </w:rPr>
        <w:t xml:space="preserve"> Proportion des émissions de GES en Eq CO2 par secteurs d’activités</w:t>
      </w:r>
    </w:p>
    <w:p w14:paraId="6984EA7A" w14:textId="77777777" w:rsidR="00C03EC4" w:rsidRPr="002E75D4" w:rsidRDefault="00C03EC4" w:rsidP="00C03EC4">
      <w:pPr>
        <w:tabs>
          <w:tab w:val="left" w:pos="426"/>
        </w:tabs>
        <w:spacing w:after="0"/>
        <w:jc w:val="both"/>
        <w:rPr>
          <w:rFonts w:asciiTheme="majorHAnsi" w:hAnsiTheme="majorHAnsi" w:cstheme="majorHAnsi"/>
          <w:b/>
        </w:rPr>
      </w:pPr>
    </w:p>
    <w:p w14:paraId="2B242AD4" w14:textId="77777777" w:rsidR="00C03EC4" w:rsidRPr="00A021BD" w:rsidRDefault="00C03EC4" w:rsidP="00C03EC4">
      <w:pPr>
        <w:jc w:val="both"/>
        <w:rPr>
          <w:rFonts w:cstheme="minorHAnsi"/>
          <w:bCs/>
          <w:sz w:val="24"/>
          <w:szCs w:val="24"/>
        </w:rPr>
      </w:pPr>
      <w:r w:rsidRPr="00A021BD">
        <w:rPr>
          <w:rFonts w:cstheme="minorHAnsi"/>
          <w:b/>
          <w:bCs/>
          <w:sz w:val="24"/>
          <w:szCs w:val="24"/>
        </w:rPr>
        <w:t>Émissions globales par types de GES</w:t>
      </w:r>
      <w:r w:rsidRPr="00A021BD">
        <w:rPr>
          <w:rFonts w:cstheme="minorHAnsi"/>
          <w:bCs/>
          <w:sz w:val="24"/>
          <w:szCs w:val="24"/>
        </w:rPr>
        <w:t> :</w:t>
      </w:r>
    </w:p>
    <w:p w14:paraId="258BDF0F"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Le diagramme ci-après, présente la situation des émissions globales par type de GES pour l’ensemble des secteurs d’activités et par types de GES</w:t>
      </w:r>
    </w:p>
    <w:p w14:paraId="01F90657"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inline distT="0" distB="0" distL="0" distR="0" wp14:anchorId="555E1A74" wp14:editId="1629BEFE">
            <wp:extent cx="6117465" cy="1983346"/>
            <wp:effectExtent l="0" t="0" r="17145" b="1714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74DA72" w14:textId="77777777" w:rsidR="00C03EC4" w:rsidRPr="002E75D4" w:rsidRDefault="00C03EC4" w:rsidP="00C03EC4">
      <w:pPr>
        <w:pStyle w:val="Lgende"/>
        <w:ind w:left="-426" w:right="-285"/>
        <w:rPr>
          <w:rFonts w:asciiTheme="majorHAnsi" w:hAnsiTheme="majorHAnsi" w:cstheme="majorHAnsi"/>
          <w:b w:val="0"/>
          <w:bCs w:val="0"/>
          <w:sz w:val="22"/>
          <w:szCs w:val="22"/>
        </w:rPr>
      </w:pPr>
      <w:r w:rsidRPr="002E75D4">
        <w:rPr>
          <w:rFonts w:asciiTheme="majorHAnsi" w:hAnsiTheme="majorHAnsi" w:cstheme="majorHAnsi"/>
          <w:b w:val="0"/>
          <w:bCs w:val="0"/>
          <w:sz w:val="22"/>
          <w:szCs w:val="22"/>
        </w:rPr>
        <w:t xml:space="preserve">                  </w:t>
      </w:r>
      <w:r w:rsidRPr="00B13E5A">
        <w:rPr>
          <w:rFonts w:asciiTheme="majorHAnsi" w:hAnsiTheme="majorHAnsi" w:cstheme="majorHAnsi"/>
          <w:bCs w:val="0"/>
          <w:sz w:val="22"/>
          <w:szCs w:val="22"/>
          <w:u w:val="single"/>
        </w:rPr>
        <w:t>Figure 17</w:t>
      </w:r>
      <w:r w:rsidRPr="002E75D4">
        <w:rPr>
          <w:rFonts w:asciiTheme="majorHAnsi" w:hAnsiTheme="majorHAnsi" w:cstheme="majorHAnsi"/>
          <w:bCs w:val="0"/>
          <w:sz w:val="22"/>
          <w:szCs w:val="22"/>
        </w:rPr>
        <w:t xml:space="preserve"> :</w:t>
      </w:r>
      <w:r w:rsidRPr="002E75D4">
        <w:rPr>
          <w:rFonts w:asciiTheme="majorHAnsi" w:hAnsiTheme="majorHAnsi" w:cstheme="majorHAnsi"/>
          <w:b w:val="0"/>
          <w:bCs w:val="0"/>
          <w:sz w:val="22"/>
          <w:szCs w:val="22"/>
        </w:rPr>
        <w:t xml:space="preserve"> Proportion des émissions globales par types de gaz pour l’ensemble des secteurs </w:t>
      </w:r>
    </w:p>
    <w:p w14:paraId="22ED3304" w14:textId="77777777" w:rsidR="00C03EC4" w:rsidRPr="002E75D4" w:rsidRDefault="00C03EC4" w:rsidP="00C03EC4">
      <w:pPr>
        <w:spacing w:after="0"/>
        <w:jc w:val="both"/>
        <w:rPr>
          <w:rFonts w:asciiTheme="majorHAnsi" w:hAnsiTheme="majorHAnsi" w:cstheme="majorHAnsi"/>
          <w:sz w:val="24"/>
          <w:szCs w:val="24"/>
        </w:rPr>
      </w:pPr>
    </w:p>
    <w:p w14:paraId="00CAE4A4"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Trois principaux gaz constituent l’essentiel des GES. Le gaz carbonique (CO2) est dominant avec </w:t>
      </w:r>
      <w:r w:rsidRPr="002E75D4">
        <w:rPr>
          <w:rFonts w:asciiTheme="majorHAnsi" w:hAnsiTheme="majorHAnsi" w:cstheme="majorHAnsi"/>
          <w:bCs/>
          <w:sz w:val="24"/>
          <w:szCs w:val="24"/>
        </w:rPr>
        <w:t>57%</w:t>
      </w:r>
      <w:r w:rsidRPr="002E75D4">
        <w:rPr>
          <w:rFonts w:asciiTheme="majorHAnsi" w:hAnsiTheme="majorHAnsi" w:cstheme="majorHAnsi"/>
          <w:sz w:val="24"/>
          <w:szCs w:val="24"/>
        </w:rPr>
        <w:t xml:space="preserve"> des GES, suivi du dioxyde d’azote (N2O) avec </w:t>
      </w:r>
      <w:r w:rsidRPr="002E75D4">
        <w:rPr>
          <w:rFonts w:asciiTheme="majorHAnsi" w:hAnsiTheme="majorHAnsi" w:cstheme="majorHAnsi"/>
          <w:bCs/>
          <w:sz w:val="24"/>
          <w:szCs w:val="24"/>
        </w:rPr>
        <w:t>23%</w:t>
      </w:r>
      <w:r w:rsidRPr="002E75D4">
        <w:rPr>
          <w:rFonts w:asciiTheme="majorHAnsi" w:hAnsiTheme="majorHAnsi" w:cstheme="majorHAnsi"/>
          <w:sz w:val="24"/>
          <w:szCs w:val="24"/>
        </w:rPr>
        <w:t xml:space="preserve"> puis du méthane avec </w:t>
      </w:r>
      <w:r w:rsidRPr="002E75D4">
        <w:rPr>
          <w:rFonts w:asciiTheme="majorHAnsi" w:hAnsiTheme="majorHAnsi" w:cstheme="majorHAnsi"/>
          <w:bCs/>
          <w:sz w:val="24"/>
          <w:szCs w:val="24"/>
        </w:rPr>
        <w:t>20%</w:t>
      </w:r>
      <w:r w:rsidRPr="002E75D4">
        <w:rPr>
          <w:rFonts w:asciiTheme="majorHAnsi" w:hAnsiTheme="majorHAnsi" w:cstheme="majorHAnsi"/>
          <w:sz w:val="24"/>
          <w:szCs w:val="24"/>
        </w:rPr>
        <w:t xml:space="preserve"> </w:t>
      </w:r>
    </w:p>
    <w:p w14:paraId="02B2264C" w14:textId="77777777" w:rsidR="00C03EC4" w:rsidRPr="002E75D4" w:rsidRDefault="00C03EC4" w:rsidP="00C03EC4">
      <w:pPr>
        <w:shd w:val="clear" w:color="auto" w:fill="FFFFFF" w:themeFill="background1"/>
        <w:spacing w:before="120" w:after="0" w:line="240" w:lineRule="auto"/>
        <w:ind w:right="96" w:firstLine="89"/>
        <w:jc w:val="both"/>
        <w:rPr>
          <w:rFonts w:asciiTheme="majorHAnsi" w:hAnsiTheme="majorHAnsi" w:cstheme="majorHAnsi"/>
          <w:bCs/>
          <w:sz w:val="24"/>
          <w:szCs w:val="24"/>
        </w:rPr>
      </w:pPr>
      <w:r w:rsidRPr="002E75D4">
        <w:rPr>
          <w:rFonts w:asciiTheme="majorHAnsi" w:hAnsiTheme="majorHAnsi" w:cstheme="majorHAnsi"/>
          <w:sz w:val="24"/>
          <w:szCs w:val="24"/>
        </w:rPr>
        <w:t xml:space="preserve">Le Financement de l’ensemble des quatre scénarios d’atténuation de la CDN est évalué à </w:t>
      </w:r>
      <w:r w:rsidRPr="002E75D4">
        <w:rPr>
          <w:rFonts w:asciiTheme="majorHAnsi" w:hAnsiTheme="majorHAnsi" w:cstheme="majorHAnsi"/>
          <w:bCs/>
          <w:sz w:val="24"/>
          <w:szCs w:val="24"/>
        </w:rPr>
        <w:t>4,344 milliards $US.</w:t>
      </w:r>
    </w:p>
    <w:p w14:paraId="0773E65D" w14:textId="77777777" w:rsidR="00C03EC4" w:rsidRPr="00A021BD" w:rsidRDefault="00C03EC4" w:rsidP="00C03EC4">
      <w:pPr>
        <w:spacing w:before="120" w:after="40"/>
        <w:ind w:right="63"/>
        <w:jc w:val="both"/>
        <w:rPr>
          <w:rFonts w:cstheme="minorHAnsi"/>
          <w:b/>
          <w:sz w:val="34"/>
          <w:szCs w:val="34"/>
        </w:rPr>
      </w:pPr>
      <w:r w:rsidRPr="00A021BD">
        <w:rPr>
          <w:rFonts w:cstheme="minorHAnsi"/>
          <w:sz w:val="34"/>
          <w:szCs w:val="34"/>
        </w:rPr>
        <w:t xml:space="preserve"> </w:t>
      </w:r>
      <w:r w:rsidRPr="00A021BD">
        <w:rPr>
          <w:rFonts w:cstheme="minorHAnsi"/>
          <w:b/>
          <w:sz w:val="34"/>
          <w:szCs w:val="34"/>
        </w:rPr>
        <w:t>3.3 LES POLLUANTS ATMOSPHERIQUES A COURTE DUREE DE VIE</w:t>
      </w:r>
    </w:p>
    <w:p w14:paraId="045937F8" w14:textId="77777777" w:rsidR="00C03EC4" w:rsidRPr="002E75D4" w:rsidRDefault="00C03EC4" w:rsidP="00C03EC4">
      <w:pPr>
        <w:spacing w:after="0" w:line="240" w:lineRule="auto"/>
        <w:jc w:val="both"/>
        <w:rPr>
          <w:rFonts w:asciiTheme="majorHAnsi" w:hAnsiTheme="majorHAnsi" w:cstheme="majorHAnsi"/>
          <w:sz w:val="24"/>
          <w:szCs w:val="24"/>
        </w:rPr>
      </w:pPr>
    </w:p>
    <w:p w14:paraId="6DC4D671"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questions de changement climatique et de pollution atmosphérique sont étroitement liées car, i) dans de nombreux cas, les gaz à effet de serre et les polluants atmosphériques sont émis par les mêmes sources </w:t>
      </w:r>
      <w:r w:rsidRPr="002E75D4">
        <w:rPr>
          <w:rFonts w:asciiTheme="majorHAnsi" w:hAnsiTheme="majorHAnsi" w:cstheme="majorHAnsi"/>
          <w:sz w:val="24"/>
          <w:szCs w:val="24"/>
        </w:rPr>
        <w:fldChar w:fldCharType="begin" w:fldLock="1"/>
      </w:r>
      <w:r w:rsidRPr="002E75D4">
        <w:rPr>
          <w:rFonts w:asciiTheme="majorHAnsi" w:hAnsiTheme="majorHAnsi" w:cstheme="majorHAnsi"/>
          <w:sz w:val="24"/>
          <w:szCs w:val="24"/>
        </w:rPr>
        <w:instrText>ADDIN CSL_CITATION {"citationItems":[{"id":"ITEM-1","itemData":{"DOI":"10.1021/ac00256a010","ISBN":"0-07-451871-8","ISSN":"0003-2700","PMID":"19527066","abstract":"- Around 6.5 million premature deaths each year can be attributed to air pollution - Energy production and use are by far the largest man-made sources of air pollutants - Technologies to tackle air pollution are well known Clean air is vital for good health. Yet despite growing recognition of this imperative, the problem of air pollution is far from solved in many countries, and the global health impacts risk intensifying in the decades to come. The scale of the public health crisis caused by air pollution and the importance of the energy sector to its resolution are the reasons why the IEA is focusing on this critical topic for the first time. Based on new data for pollutant emissions in 2015 and projections to 2040, this special report, the latest in the World Energy Outlook series, provides a global outlook for energy and air pollution as well as detailed profiles of key countries and regions: the United States, Mexico, the European Union, China, India, Southeast Asia and Africa. In a Clean Air Scenario, the report proposes a pragmatic and attainable strategy to reconcile the world’s energy requirements with its need for cleaner air. Alongside the multiple benefits to human health, this strategy shows that resolving the world’s air pollution problem can go hand-in-hand with progress towards other environmental and development goals.","author":[{"dropping-particle":"","family":"Priddle","given":"Robert","non-dropping-particle":"","parse-names":false,"suffix":""}],"container-title":"World Energy Outlook - Special Report","id":"ITEM-1","issued":{"date-parts":[["2016"]]},"title":"World Energy Outlook - Special Report Energy and Air Pollution","type":"article-journal"},"uris":["http://www.mendeley.com/documents/?uuid=6d6e84e5-fa35-436a-acc4-d0b8335f07f3"]},{"id":"ITEM-2","itemData":{"DOI":"10.1017/ CBO9781107415324.018","ISBN":"978-1-107-05799-1","ISSN":"1476-4687","PMID":"17429376","abstract":"It is unequivocal that anthropogenic increases in the well-mixed greenhouse gases (WMGHGs) have substantially enhanced the greenhouse effect, and the resulting forcing continues to increase. Aerosols partially offset the forcing of the WMGHGs and dominate the uncertainty associated with the total anthropogenic driving of climate change.","author":[{"dropping-particle":"","family":"Myhre","given":"Gunnar","non-dropping-particle":"","parse-names":false,"suffix":""},{"dropping-particle":"","family":"Shindell","given":"Drew","non-dropping-particle":"","parse-names":false,"suffix":""},{"dropping-particle":"","family":"Bréon","given":"Francois-Marie","non-dropping-particle":"","parse-names":false,"suffix":""},{"dropping-particle":"","family":"Collins","given":"William","non-dropping-particle":"","parse-names":false,"suffix":""},{"dropping-particle":"","family":"Fuglestvedt","given":"Jan","non-dropping-particle":"","parse-names":false,"suffix":""},{"dropping-particle":"","family":"Huang","given":"Jianping","non-dropping-particle":"","parse-names":false,"suffix":""},{"dropping-particle":"","family":"Koch","given":"Dorothy","non-dropping-particle":"","parse-names":false,"suffix":""},{"dropping-particle":"","family":"Lamarque","given":"Jean-Francois","non-dropping-particle":"","parse-names":false,"suffix":""},{"dropping-particle":"","family":"Lee","given":"David","non-dropping-particle":"","parse-names":false,"suffix":""},{"dropping-particle":"","family":"Mendoza","given":"Blanca","non-dropping-particle":"","parse-names":false,"suffix":""},{"dropping-particle":"","family":"Nakajima","given":"Teruyuki","non-dropping-particle":"","parse-names":false,"suffix":""},{"dropping-particle":"","family":"Robock","given":"Alan","non-dropping-particle":"","parse-names":false,"suffix":""},{"dropping-particle":"","family":"Stephens","given":"Graeme","non-dropping-particle":"","parse-names":false,"suffix":""},{"dropping-particle":"","family":"Takemura","given":"Toshihiko","non-dropping-particle":"","parse-names":false,"suffix":""},{"dropping-particle":"","family":"Zhang","given":"Hua","non-dropping-particle":"","parse-names":false,"suffix":""}],"container-title":"Climate Change 2013: The Physical Science Basis. Contribution of Working Group I to the Fifth Assessment Report of the Intergovernmental Panel on Climate Change","id":"ITEM-2","issued":{"date-parts":[["2013"]]},"title":"IPCC Fifth Assessment Report (AR5) Chapter 8: Anthropogenic and Natural Radiative Forcing","type":"article-journal"},"uris":["http://www.mendeley.com/documents/?uuid=048b410e-008a-48f4-a328-88de635c91e3"]}],"mendeley":{"formattedCitation":"(Myhre et al., 2013; Priddle, 2016)","plainTextFormattedCitation":"(Myhre et al., 2013; Priddle, 2016)","previouslyFormattedCitation":"(Myhre et al., 2013; Priddle, 2016)"},"properties":{"noteIndex":0},"schema":"https://github.com/citation-style-language/schema/raw/master/csl-citation.json"}</w:instrText>
      </w:r>
      <w:r w:rsidRPr="002E75D4">
        <w:rPr>
          <w:rFonts w:asciiTheme="majorHAnsi" w:hAnsiTheme="majorHAnsi" w:cstheme="majorHAnsi"/>
          <w:sz w:val="24"/>
          <w:szCs w:val="24"/>
        </w:rPr>
        <w:fldChar w:fldCharType="separate"/>
      </w:r>
      <w:r w:rsidRPr="002E75D4">
        <w:rPr>
          <w:rFonts w:asciiTheme="majorHAnsi" w:hAnsiTheme="majorHAnsi" w:cstheme="majorHAnsi"/>
          <w:sz w:val="24"/>
          <w:szCs w:val="24"/>
        </w:rPr>
        <w:t>(Myhre et al., 2013 ; Priddle, 2016)</w:t>
      </w:r>
      <w:r w:rsidRPr="002E75D4">
        <w:rPr>
          <w:rFonts w:asciiTheme="majorHAnsi" w:hAnsiTheme="majorHAnsi" w:cstheme="majorHAnsi"/>
          <w:sz w:val="24"/>
          <w:szCs w:val="24"/>
        </w:rPr>
        <w:fldChar w:fldCharType="end"/>
      </w:r>
      <w:r w:rsidRPr="002E75D4">
        <w:rPr>
          <w:rFonts w:asciiTheme="majorHAnsi" w:hAnsiTheme="majorHAnsi" w:cstheme="majorHAnsi"/>
          <w:sz w:val="24"/>
          <w:szCs w:val="24"/>
        </w:rPr>
        <w:t xml:space="preserve">, et ii) certaines des mêmes substances contribuent au changement climatique et aux impacts de la pollution atmosphérique, comme le méthane, le carbone noir et l'ozone troposphérique, c'est-à-dire les polluants climatiques à courte durée de vie (SLCP) (figure 11). Ces deux liens offrent des possibilités considérables de concevoir des stratégies et d'identifier des mesures d'atténuation qui peuvent à la fois réduire la pollution atmosphérique et atténuer le changement climatique. Des études mondiales et régionales ont montré qu'il existe une variété de stratégies et de mesures qui peuvent être prises pour cibler les principales sources de SLCP et améliorer simultanément la pollution atmosphérique au niveau local tout en réduisant la contribution d'un pays au changement climatique mondial </w:t>
      </w:r>
      <w:r w:rsidRPr="002E75D4">
        <w:rPr>
          <w:rFonts w:asciiTheme="majorHAnsi" w:hAnsiTheme="majorHAnsi" w:cstheme="majorHAnsi"/>
          <w:sz w:val="24"/>
          <w:szCs w:val="24"/>
        </w:rPr>
        <w:fldChar w:fldCharType="begin" w:fldLock="1"/>
      </w:r>
      <w:r w:rsidRPr="002E75D4">
        <w:rPr>
          <w:rFonts w:asciiTheme="majorHAnsi" w:hAnsiTheme="majorHAnsi" w:cstheme="majorHAnsi"/>
          <w:sz w:val="24"/>
          <w:szCs w:val="24"/>
        </w:rPr>
        <w:instrText>ADDIN CSL_CITATION {"citationItems":[{"id":"ITEM-1","itemData":{"author":[{"dropping-particle":"","family":"UNEP/WMO","given":"","non-dropping-particle":"","parse-names":false,"suffix":""}],"id":"ITEM-1","issued":{"date-parts":[["2011"]]},"title":"Integrated Assessment of Black Carbon and Tropospheric Ozone. United Nations Environment Programme, World Meteorological Organisation Report. Available at: https://wedocs.unep.org/rest/bitstreams/12809/retrieve","type":"article-journal"},"uris":["http://www.mendeley.com/documents/?uuid=d68f4f60-d242-45d9-a0a1-620f2ad3cd73"]},{"id":"ITEM-2","itemData":{"DOI":"10.1126/science.1210026","ISSN":"0036-8075","author":[{"dropping-particle":"","family":"Shindell","given":"D","non-dropping-particle":"","parse-names":false,"suffix":""},{"dropping-particle":"","family":"Kuylenstierna","given":"J C I","non-dropping-particle":"","parse-names":false,"suffix":""},{"dropping-particle":"","family":"Vignati","given":"E","non-dropping-particle":"","parse-names":false,"suffix":""},{"dropping-particle":"","family":"Dingenen","given":"R","non-dropping-particle":"van","parse-names":false,"suffix":""},{"dropping-particle":"","family":"Amann","given":"M","non-dropping-particle":"","parse-names":false,"suffix":""},{"dropping-particle":"","family":"Klimont","given":"Z","non-dropping-particle":"","parse-names":false,"suffix":""},{"dropping-particle":"","family":"Anenberg","given":"S C","non-dropping-particle":"","parse-names":false,"suffix":""},{"dropping-particle":"","family":"Muller","given":"N","non-dropping-particle":"","parse-names":false,"suffix":""},{"dropping-particle":"","family":"Janssens-Maenhout","given":"G","non-dropping-particle":"","parse-names":false,"suffix":""},{"dropping-particle":"","family":"Raes","given":"F","non-dropping-particle":"","parse-names":false,"suffix":""},{"dropping-particle":"","family":"Schwartz","given":"J","non-dropping-particle":"","parse-names":false,"suffix":""},{"dropping-particle":"","family":"Faluvegi","given":"G","non-dropping-particle":"","parse-names":false,"suffix":""},{"dropping-particle":"","family":"Pozzoli","given":"L","non-dropping-particle":"","parse-names":false,"suffix":""},{"dropping-particle":"","family":"Kupiainen","given":"K","non-dropping-particle":"","parse-names":false,"suffix":""},{"dropping-particle":"","family":"Hoglund-Isaksson","given":"L","non-dropping-particle":"","parse-names":false,"suffix":""},{"dropping-particle":"","family":"Emberson","given":"L","non-dropping-particle":"","parse-names":false,"suffix":""},{"dropping-particle":"","family":"Streets","given":"D","non-dropping-particle":"","parse-names":false,"suffix":""},{"dropping-particle":"","family":"Ramanathan","given":"V","non-dropping-particle":"","parse-names":false,"suffix":""},{"dropping-particle":"","family":"Hicks","given":"K","non-dropping-particle":"","parse-names":false,"suffix":""},{"dropping-particle":"","family":"Oanh","given":"N T K","non-dropping-particle":"","parse-names":false,"suffix":""},{"dropping-particle":"","family":"Milly","given":"G","non-dropping-particle":"","parse-names":false,"suffix":""},{"dropping-particle":"","family":"Williams","given":"M","non-dropping-particle":"","parse-names":false,"suffix":""},{"dropping-particle":"","family":"Demkine","given":"V","non-dropping-particle":"","parse-names":false,"suffix":""},{"dropping-particle":"","family":"Fowler","given":"D","non-dropping-particle":"","parse-names":false,"suffix":""}],"container-title":"Science","id":"ITEM-2","issue":"6065","issued":{"date-parts":[["2012"]]},"page":"183-189","title":"Simultaneously Mitigating Near-Term Climate Change and Improving Human Health and Food Security","type":"article-journal","volume":"335"},"uris":["http://www.mendeley.com/documents/?uuid=06663e58-673e-4e83-adea-69ed70d1ac10"]},{"id":"ITEM-3","itemData":{"DOI":"10.5194/acp-15-10529-2015","ISSN":"1680-7316","author":[{"dropping-particle":"","family":"Stohl","given":"A","non-dropping-particle":"","parse-names":false,"suffix":""},{"dropping-particle":"","family":"Aamaas","given":"B","non-dropping-particle":"","parse-names":false,"suffix":""},{"dropping-particle":"","family":"Amann","given":"M","non-dropping-particle":"","parse-names":false,"suffix":""},{"dropping-particle":"","family":"Baker","given":"L H","non-dropping-particle":"","parse-names":false,"suffix":""},{"dropping-particle":"","family":"Bellouin","given":"N","non-dropping-particle":"","parse-names":false,"suffix":""},{"dropping-particle":"","family":"Berntsen","given":"T K","non-dropping-particle":"","parse-names":false,"suffix":""},{"dropping-particle":"","family":"Boucher","given":"O","non-dropping-particle":"","parse-names":false,"suffix":""},{"dropping-particle":"","family":"Cherian","given":"R","non-dropping-particle":"","parse-names":false,"suffix":""},{"dropping-particle":"","family":"Collins","given":"W","non-dropping-particle":"","parse-names":false,"suffix":""},{"dropping-particle":"","family":"Daskalakis","given":"N","non-dropping-particle":"","parse-names":false,"suffix":""},{"dropping-particle":"","family":"Dusinska","given":"M","non-dropping-particle":"","parse-names":false,"suffix":""},{"dropping-particle":"","family":"Eckhardt","given":"S","non-dropping-particle":"","parse-names":false,"suffix":""},{"dropping-particle":"","family":"Fuglestvedt","given":"J S","non-dropping-particle":"","parse-names":false,"suffix":""},{"dropping-particle":"","family":"Harju","given":"M","non-dropping-particle":"","parse-names":false,"suffix":""},{"dropping-particle":"","family":"Heyes","given":"C","non-dropping-particle":"","parse-names":false,"suffix":""},{"dropping-particle":"","family":"Hodnebrog","given":"O","non-dropping-particle":"","parse-names":false,"suffix":""},{"dropping-particle":"","family":"Hao","given":"J","non-dropping-particle":"","parse-names":false,"suffix":""},{"dropping-particle":"","family":"Im","given":"U","non-dropping-particle":"","parse-names":false,"suffix":""},{"dropping-particle":"","family":"Kanakidou","given":"M","non-dropping-particle":"","parse-names":false,"suffix":""},{"dropping-particle":"","family":"Klimont","given":"Z","non-dropping-particle":"","parse-names":false,"suffix":""},{"dropping-particle":"","family":"Kupiainen","given":"K","non-dropping-particle":"","parse-names":false,"suffix":""},{"dropping-particle":"","family":"Law","given":"K S","non-dropping-particle":"","parse-names":false,"suffix":""},{"dropping-particle":"","family":"Lund","given":"M T","non-dropping-particle":"","parse-names":false,"suffix":""},{"dropping-particle":"","family":"Maas","given":"R","non-dropping-particle":"","parse-names":false,"suffix":""},{"dropping-particle":"","family":"MacIntosh","given":"C R","non-dropping-particle":"","parse-names":false,"suffix":""},{"dropping-particle":"","family":"Myhre","given":"G","non-dropping-particle":"","parse-names":false,"suffix":""},{"dropping-particle":"","family":"Myriokefalitakis","given":"S","non-dropping-particle":"","parse-names":false,"suffix":""},{"dropping-particle":"","family":"Olivie","given":"D","non-dropping-particle":"","parse-names":false,"suffix":""},{"dropping-particle":"","family":"Quaas","given":"J","non-dropping-particle":"","parse-names":false,"suffix":""},{"dropping-particle":"","family":"Quennehen","given":"B","non-dropping-particle":"","parse-names":false,"suffix":""},{"dropping-particle":"","family":"Raut","given":"J C","non-dropping-particle":"","parse-names":false,"suffix":""},{"dropping-particle":"","family":"Rumbold","given":"S T","non-dropping-particle":"","parse-names":false,"suffix":""},{"dropping-particle":"","family":"Samset","given":"B H","non-dropping-particle":"","parse-names":false,"suffix":""},{"dropping-particle":"","family":"Schulz","given":"M","non-dropping-particle":"","parse-names":false,"suffix":""},{"dropping-particle":"","family":"Seland","given":"O","non-dropping-particle":"","parse-names":false,"suffix":""},{"dropping-particle":"","family":"Shine","given":"K P","non-dropping-particle":"","parse-names":false,"suffix":""},{"dropping-particle":"","family":"Skeie","given":"R B","non-dropping-particle":"","parse-names":false,"suffix":""},{"dropping-particle":"","family":"Wang","given":"S","non-dropping-particle":"","parse-names":false,"suffix":""},{"dropping-particle":"","family":"Yttri","given":"K E","non-dropping-particle":"","parse-names":false,"suffix":""},{"dropping-particle":"","family":"Zhu","given":"T","non-dropping-particle":"","parse-names":false,"suffix":""}],"container-title":"Atmospheric Chemistry and Physics","id":"ITEM-3","issue":"18","issued":{"date-parts":[["2015"]]},"page":"10529-10566","title":"Evaluating the climate and air quality impacts of short-lived pollutants","type":"article-journal","volume":"15"},"uris":["http://www.mendeley.com/documents/?uuid=cf42c5a5-f801-441c-8dae-848b48025679"]},{"id":"ITEM-4","itemData":{"DOI":"10.1016/j.envint.2020.106155","ISSN":"18736750","abstract":"© 2020 The Authors Low- and middle-income countries have the largest health burdens associated with air pollution exposure, and are particularly vulnerable to climate change impacts. Substantial opportunities have been identified to simultaneously improve air quality and mitigate climate change due to overlapping sources of greenhouse gas and air pollutant emissions and because a subset of pollutants, short-lived climate pollutants (SLCPs), directly contribute to both impacts. However, planners in low- and middle-income countries often lack practical tools to quantify the air pollution and climate change impacts of different policies and measures. This paper presents a modelling framework implemented in the Low Emissions Analysis Platform – Integrated Benefits Calculator (LEAP-IBC) tool to develop integrated strategies to improve air quality, human health and mitigate climate change. The framework estimates emissions of greenhouse gases, SLCPs and air pollutants for historical years, and future projections for baseline and mitigation scenarios. These emissions are then used to quantify i) population-weighted annual average ambient PM2.5 concentrations across the target country, ii) household PM2.5 exposure of different population groups living in households cooking using different fuels/technologies and iii) radiative forcing from all emissions. Health impacts (premature mortality) attributable to ambient and household PM2.5 exposure and changes in global average temperature change are then estimated. This framework is applied in Bangladesh to evaluate the air quality and climate change benefits from implementation of Bangladesh's Nationally Determined Contribution (NDC) and National Action Plan to reduce SLCPs. Results show that the measures included to reduce GHGs in Bangladesh's NDC also have substantial benefits for air quality and human health. Full implementation of Bangladesh's NDC, and National SLCP Plan would reduce carbon dioxide, methane, black carbon and primary PM2.5 emissions by 25%, 34%, 46% and 45%, respectively in 2030 compared to a baseline scenario. These emission reductions could reduce population-weighted ambient PM2.5 concentrations in Bangladesh by 18% in 2030, and avoid approximately 12,000 and 100,000 premature deaths attributable to ambient and household PM2.5 exposures, respectively, in 2030. As countries are simultaneously planning to achieve the climate goals in the Paris Agreement, improve air quality to reduce health impac…","author":[{"dropping-particle":"","family":"Kuylenstierna","given":"J.C.I.","non-dropping-particle":"","parse-names":false,"suffix":""},{"dropping-particle":"","family":"Heaps","given":"C.G.","non-dropping-particle":"","parse-names":false,"suffix":""},{"dropping-particle":"","family":"Ahmed","given":"T.","non-dropping-particle":"","parse-names":false,"suffix":""},{"dropping-particle":"","family":"Vallack","given":"H.W.","non-dropping-particle":"","parse-names":false,"suffix":""},{"dropping-particle":"","family":"Hicks","given":"W.K.","non-dropping-particle":"","parse-names":false,"suffix":""},{"dropping-particle":"","family":"Ashmore","given":"M.R.","non-dropping-particle":"","parse-names":false,"suffix":""},{"dropping-particle":"","family":"Malley","given":"C.S.","non-dropping-particle":"","parse-names":false,"suffix":""},{"dropping-particle":"","family":"Wang","given":"G.","non-dropping-particle":"","parse-names":false,"suffix":""},{"dropping-particle":"","family":"Lefèvre","given":"E.N.","non-dropping-particle":"","parse-names":false,"suffix":""},{"dropping-particle":"","family":"Anenberg","given":"S.C.","non-dropping-particle":"","parse-names":false,"suffix":""},{"dropping-particle":"","family":"Lacey","given":"F.","non-dropping-particle":"","parse-names":false,"suffix":""},{"dropping-particle":"","family":"Shindell","given":"D.T.","non-dropping-particle":"","parse-names":false,"suffix":""},{"dropping-particle":"","family":"Bhattacharjee","given":"U.","non-dropping-particle":"","parse-names":false,"suffix":""},{"dropping-particle":"","family":"Henze","given":"D.K.","non-dropping-particle":"","parse-names":false,"suffix":""}],"container-title":"Environmental International","id":"ITEM-4","issued":{"date-parts":[["2020"]]},"title":"Development of the Low Emissions Analysis Platform – Integrated Benefits Calculator (LEAP-IBC) tool to assess air quality and climate co-benefits: Application for Bangladesh","type":"article-journal","volume":"145"},"uris":["http://www.mendeley.com/documents/?uuid=5f9f2204-8d7a-31ac-9a17-f03a4d217651"]},{"id":"ITEM-5","itemData":{"DOI":"https://doi.org/10.1007/s11869-020-00799-6","author":[{"dropping-particle":"","family":"Nakarmi","given":"A.M.","non-dropping-particle":"","parse-names":false,"suffix":""},{"dropping-particle":"","family":"Sharma","given":"B.","non-dropping-particle":"","parse-names":false,"suffix":""},{"dropping-particle":"","family":"Rajbhandari","given":"U.S.","non-dropping-particle":"","parse-names":false,"suffix":""},{"dropping-particle":"","family":"Prajapati","given":"A.","non-dropping-particle":"","parse-names":false,"suffix":""},{"dropping-particle":"","family":"Malley","given":"C.S.","non-dropping-particle":"","parse-names":false,"suffix":""},{"dropping-particle":"","family":"Kuylensiterna","given":"J.C.I.","non-dropping-particle":"","parse-names":false,"suffix":""},{"dropping-particle":"","family":"Vallack","given":"H.W.","non-dropping-particle":"","parse-names":false,"suffix":""},{"dropping-particle":"","family":"Henze","given":"D.K.","non-dropping-particle":"","parse-names":false,"suffix":""},{"dropping-particle":"","family":"Panday","given":"A.","non-dropping-particle":"","parse-names":false,"suffix":""}],"container-title":"Air Qual. Atmos. Health","id":"ITEM-5","issued":{"date-parts":[["2020"]]},"title":"Mitigating the impacts of air pollutants in Nepal and climate co-benefits: a scenario-based approach.","type":"article-journal"},"uris":["http://www.mendeley.com/documents/?uuid=02183ddb-e797-4eed-afb7-87d238c0b5a9"]},{"id":"ITEM-6","itemData":{"author":[{"dropping-particle":"","family":"UNEP","given":"","non-dropping-particle":"","parse-names":false,"suffix":""}],"id":"ITEM-6","issued":{"date-parts":[["2018"]]},"title":"Integrated Assessment of Short-lived Climate Pollutants in Latin America and the Caribbean. United Nations Environment Programme/Climate and Clean Air Coalition report. Available at: http://ccacoalition.org/en/resources/integrated-assessment-short-lived-c","type":"article-journal"},"uris":["http://www.mendeley.com/documents/?uuid=70cf41ba-8dd4-476a-91d8-d6a5e1982f3e"]},{"id":"ITEM-7","itemData":{"DOI":"10.13140/2.1.4203.8569","ISBN":"9789280728613","abstract":"The Keeping Track of Our Changing Environment in Asia and the Pacific report is a unique scientific and indicator-based assessment report produced by UNEP, with contributions from experts and UNEP National Focal Points from the region. The report analyzes emerging and persistent development and environmental challenges in the region. The report also traces the patterns of economic development and resource use and degradation since 1992 when leaders from countries around the globe made their commitment to sustainable development at the UN Conference on Environment and Development in Rio de Janeiro, Brazil.","author":[{"dropping-particle":"","family":"UNEP","given":"","non-dropping-particle":"","parse-names":false,"suffix":""}],"container-title":"United Nations Environment Programme (UNEP)","id":"ITEM-7","issued":{"date-parts":[["2019"]]},"title":"Air Pollution in Asia and the Pacific: Science-based Solutions","type":"report"},"uris":["http://www.mendeley.com/documents/?uuid=1422871b-7508-478b-a01b-507899ee99ad"]}],"mendeley":{"formattedCitation":"(Kuylenstierna et al., 2020; Nakarmi et al., 2020; Shindell et al., 2012; Stohl et al., 2015; UNEP/WMO, 2011; UNEP, 2019, 2018)","plainTextFormattedCitation":"(Kuylenstierna et al., 2020; Nakarmi et al., 2020; Shindell et al., 2012; Stohl et al., 2015; UNEP/WMO, 2011; UNEP, 2019, 2018)","previouslyFormattedCitation":"(Kuylenstierna et al., 2020; Nakarmi et al., 2020; Shindell et al., 2012; Stohl et al., 2015; UNEP/WMO, 2011; UNEP, 2019, 2018)"},"properties":{"noteIndex":0},"schema":"https://github.com/citation-style-language/schema/raw/master/csl-citation.json"}</w:instrText>
      </w:r>
      <w:r w:rsidRPr="002E75D4">
        <w:rPr>
          <w:rFonts w:asciiTheme="majorHAnsi" w:hAnsiTheme="majorHAnsi" w:cstheme="majorHAnsi"/>
          <w:sz w:val="24"/>
          <w:szCs w:val="24"/>
        </w:rPr>
        <w:fldChar w:fldCharType="separate"/>
      </w:r>
      <w:r w:rsidRPr="002E75D4">
        <w:rPr>
          <w:rFonts w:asciiTheme="majorHAnsi" w:hAnsiTheme="majorHAnsi" w:cstheme="majorHAnsi"/>
          <w:sz w:val="24"/>
          <w:szCs w:val="24"/>
        </w:rPr>
        <w:t>(Kuylenstierna et al., 2020 ; Nakarmi et al., 2020 ; Shindell et al., 2012 ; Stohl et al., 2015 ; UNEP/WMO, 2011 ; UNEP, 2019, 2018)</w:t>
      </w:r>
      <w:r w:rsidRPr="002E75D4">
        <w:rPr>
          <w:rFonts w:asciiTheme="majorHAnsi" w:hAnsiTheme="majorHAnsi" w:cstheme="majorHAnsi"/>
          <w:sz w:val="24"/>
          <w:szCs w:val="24"/>
        </w:rPr>
        <w:fldChar w:fldCharType="end"/>
      </w:r>
      <w:r w:rsidRPr="002E75D4">
        <w:rPr>
          <w:rFonts w:asciiTheme="majorHAnsi" w:hAnsiTheme="majorHAnsi" w:cstheme="majorHAnsi"/>
          <w:sz w:val="24"/>
          <w:szCs w:val="24"/>
        </w:rPr>
        <w:t xml:space="preserve">. </w:t>
      </w:r>
    </w:p>
    <w:p w14:paraId="33639A62" w14:textId="77777777" w:rsidR="00C03EC4" w:rsidRPr="002E75D4" w:rsidRDefault="00C03EC4" w:rsidP="00C03EC4">
      <w:pPr>
        <w:spacing w:after="0"/>
        <w:jc w:val="both"/>
        <w:rPr>
          <w:rFonts w:asciiTheme="majorHAnsi" w:hAnsiTheme="majorHAnsi" w:cstheme="majorHAnsi"/>
          <w:sz w:val="24"/>
          <w:szCs w:val="24"/>
        </w:rPr>
      </w:pPr>
    </w:p>
    <w:p w14:paraId="0F2664F7" w14:textId="77777777" w:rsidR="00C03EC4" w:rsidRPr="002E75D4" w:rsidRDefault="00C03EC4" w:rsidP="00C03EC4">
      <w:pPr>
        <w:spacing w:after="0"/>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inline distT="0" distB="0" distL="0" distR="0" wp14:anchorId="5A90CA7F" wp14:editId="7FB55B20">
            <wp:extent cx="6126627" cy="293638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7067" cy="2936594"/>
                    </a:xfrm>
                    <a:prstGeom prst="rect">
                      <a:avLst/>
                    </a:prstGeom>
                  </pic:spPr>
                </pic:pic>
              </a:graphicData>
            </a:graphic>
          </wp:inline>
        </w:drawing>
      </w:r>
    </w:p>
    <w:p w14:paraId="4EFC1685" w14:textId="77777777" w:rsidR="00C03EC4" w:rsidRPr="002E75D4" w:rsidRDefault="00C03EC4" w:rsidP="00C03EC4">
      <w:pPr>
        <w:spacing w:after="0"/>
        <w:jc w:val="center"/>
        <w:rPr>
          <w:rFonts w:asciiTheme="majorHAnsi" w:hAnsiTheme="majorHAnsi" w:cstheme="majorHAnsi"/>
        </w:rPr>
      </w:pPr>
      <w:r w:rsidRPr="00B13E5A">
        <w:rPr>
          <w:rFonts w:asciiTheme="majorHAnsi" w:hAnsiTheme="majorHAnsi" w:cstheme="majorHAnsi"/>
          <w:b/>
          <w:u w:val="single"/>
        </w:rPr>
        <w:t>Figure 18</w:t>
      </w:r>
      <w:r w:rsidRPr="002E75D4">
        <w:rPr>
          <w:rFonts w:asciiTheme="majorHAnsi" w:hAnsiTheme="majorHAnsi" w:cstheme="majorHAnsi"/>
        </w:rPr>
        <w:t xml:space="preserve"> : Résumé des polluants qui sont classés comme polluants atmosphériques, polluants climatiques à courte durée de vie et gaz à effet de serre </w:t>
      </w:r>
      <w:r w:rsidRPr="002E75D4">
        <w:rPr>
          <w:rFonts w:asciiTheme="majorHAnsi" w:hAnsiTheme="majorHAnsi" w:cstheme="majorHAnsi"/>
        </w:rPr>
        <w:fldChar w:fldCharType="begin" w:fldLock="1"/>
      </w:r>
      <w:r w:rsidRPr="002E75D4">
        <w:rPr>
          <w:rFonts w:asciiTheme="majorHAnsi" w:hAnsiTheme="majorHAnsi" w:cstheme="majorHAnsi"/>
        </w:rPr>
        <w:instrText>ADDIN CSL_CITATION {"citationItems":[{"id":"ITEM-1","itemData":{"author":[{"dropping-particle":"","family":"CCAC SNAP","given":"","non-dropping-particle":"","parse-names":false,"suffix":""}],"id":"ITEM-1","issued":{"date-parts":[["2019"]]},"title":"Opportunities for Increasing Ambition of Nationally Determined Contributions through Integrated Air Pollution and Climate Change Planning: A Practical Guidance document. Climate and Clean Air Coalition Supporting National Action &amp; Planning Initiative Repo","type":"article-journal"},"prefix":"Source: ","uris":["http://www.mendeley.com/documents/?uuid=49543ad2-bb7d-4567-b309-798f14ac988c"]}],"mendeley":{"formattedCitation":"(Source: CCAC SNAP, 2019)","plainTextFormattedCitation":"(Source: CCAC SNAP, 2019)","previouslyFormattedCitation":"(Source: CCAC SNAP, 2019)"},"properties":{"noteIndex":0},"schema":"https://github.com/citation-style-language/schema/raw/master/csl-citation.json"}</w:instrText>
      </w:r>
      <w:r w:rsidRPr="002E75D4">
        <w:rPr>
          <w:rFonts w:asciiTheme="majorHAnsi" w:hAnsiTheme="majorHAnsi" w:cstheme="majorHAnsi"/>
        </w:rPr>
        <w:fldChar w:fldCharType="separate"/>
      </w:r>
      <w:r w:rsidRPr="002E75D4">
        <w:rPr>
          <w:rFonts w:asciiTheme="majorHAnsi" w:hAnsiTheme="majorHAnsi" w:cstheme="majorHAnsi"/>
        </w:rPr>
        <w:t>(Source : CCPA SNAP, 2019).</w:t>
      </w:r>
      <w:r w:rsidRPr="002E75D4">
        <w:rPr>
          <w:rFonts w:asciiTheme="majorHAnsi" w:hAnsiTheme="majorHAnsi" w:cstheme="majorHAnsi"/>
        </w:rPr>
        <w:fldChar w:fldCharType="end"/>
      </w:r>
    </w:p>
    <w:p w14:paraId="37F8CE66" w14:textId="77777777" w:rsidR="00C03EC4" w:rsidRPr="002E75D4" w:rsidRDefault="00C03EC4" w:rsidP="00C03EC4">
      <w:pPr>
        <w:spacing w:after="0"/>
        <w:jc w:val="both"/>
        <w:rPr>
          <w:rFonts w:asciiTheme="majorHAnsi" w:hAnsiTheme="majorHAnsi" w:cstheme="majorHAnsi"/>
        </w:rPr>
      </w:pPr>
    </w:p>
    <w:p w14:paraId="5F12EFFA" w14:textId="77777777" w:rsidR="00C03EC4" w:rsidRPr="002E75D4" w:rsidRDefault="00C03EC4" w:rsidP="00C03EC4">
      <w:pPr>
        <w:jc w:val="both"/>
        <w:rPr>
          <w:rFonts w:cstheme="minorHAnsi"/>
          <w:b/>
          <w:bCs/>
          <w:sz w:val="24"/>
          <w:szCs w:val="24"/>
        </w:rPr>
      </w:pPr>
      <w:r w:rsidRPr="002E75D4">
        <w:rPr>
          <w:rFonts w:cstheme="minorHAnsi"/>
          <w:b/>
          <w:bCs/>
          <w:sz w:val="24"/>
          <w:szCs w:val="24"/>
        </w:rPr>
        <w:t>Polluants climatiques à courte durée de vie</w:t>
      </w:r>
    </w:p>
    <w:p w14:paraId="748D2A40" w14:textId="77777777" w:rsidR="00C03EC4" w:rsidRPr="002E75D4" w:rsidRDefault="00C03EC4" w:rsidP="00C03EC4">
      <w:pPr>
        <w:pStyle w:val="Paragraphedeliste"/>
        <w:numPr>
          <w:ilvl w:val="0"/>
          <w:numId w:val="9"/>
        </w:numPr>
        <w:spacing w:after="160" w:line="259" w:lineRule="auto"/>
        <w:jc w:val="both"/>
        <w:rPr>
          <w:rFonts w:asciiTheme="majorHAnsi" w:hAnsiTheme="majorHAnsi" w:cstheme="majorHAnsi"/>
          <w:sz w:val="24"/>
          <w:szCs w:val="24"/>
        </w:rPr>
      </w:pPr>
      <w:r w:rsidRPr="002E75D4">
        <w:rPr>
          <w:rFonts w:asciiTheme="majorHAnsi" w:hAnsiTheme="majorHAnsi" w:cstheme="majorHAnsi"/>
          <w:bCs/>
          <w:sz w:val="24"/>
          <w:szCs w:val="24"/>
        </w:rPr>
        <w:t>Carbone noir (CB)</w:t>
      </w:r>
      <w:r w:rsidRPr="002E75D4">
        <w:rPr>
          <w:rFonts w:asciiTheme="majorHAnsi" w:hAnsiTheme="majorHAnsi" w:cstheme="majorHAnsi"/>
          <w:sz w:val="24"/>
          <w:szCs w:val="24"/>
        </w:rPr>
        <w:t xml:space="preserve"> : Un composant des émissions directes de particules (PM) qui contribue aux effets négatifs de la pollution atmosphérique sur la santé humaine. Les émissions de carbone noir réchauffent également l'atmosphère par absorption directe du rayonnement solaire entrant et par des effets indirects tels que le dépôt sur la neige et la glace et les interactions avec les nuages. Avec une durée de vie atmosphérique de quelques jours, il s'agit d'un polluant climatique à courte durée de vie. Il est principalement émis par une combustion incomplète. </w:t>
      </w:r>
    </w:p>
    <w:p w14:paraId="669AD0AF" w14:textId="77777777" w:rsidR="00C03EC4" w:rsidRPr="002E75D4" w:rsidRDefault="00C03EC4" w:rsidP="00C03EC4">
      <w:pPr>
        <w:jc w:val="both"/>
        <w:rPr>
          <w:rFonts w:cstheme="minorHAnsi"/>
          <w:b/>
          <w:bCs/>
          <w:sz w:val="24"/>
          <w:szCs w:val="24"/>
        </w:rPr>
      </w:pPr>
      <w:r w:rsidRPr="002E75D4">
        <w:rPr>
          <w:rFonts w:cstheme="minorHAnsi"/>
          <w:b/>
          <w:bCs/>
          <w:sz w:val="24"/>
          <w:szCs w:val="24"/>
        </w:rPr>
        <w:t>Polluants atmosphériques</w:t>
      </w:r>
    </w:p>
    <w:p w14:paraId="5C44B818" w14:textId="77777777" w:rsidR="00C03EC4" w:rsidRPr="002E75D4" w:rsidRDefault="00C03EC4" w:rsidP="00C03EC4">
      <w:pPr>
        <w:pStyle w:val="Paragraphedeliste"/>
        <w:numPr>
          <w:ilvl w:val="0"/>
          <w:numId w:val="23"/>
        </w:numPr>
        <w:spacing w:after="160" w:line="259" w:lineRule="auto"/>
        <w:jc w:val="both"/>
        <w:rPr>
          <w:rFonts w:asciiTheme="majorHAnsi" w:hAnsiTheme="majorHAnsi" w:cstheme="majorHAnsi"/>
          <w:sz w:val="24"/>
          <w:szCs w:val="24"/>
        </w:rPr>
      </w:pPr>
      <w:r w:rsidRPr="002E75D4">
        <w:rPr>
          <w:rFonts w:asciiTheme="majorHAnsi" w:hAnsiTheme="majorHAnsi" w:cstheme="majorHAnsi"/>
          <w:bCs/>
          <w:sz w:val="24"/>
          <w:szCs w:val="24"/>
        </w:rPr>
        <w:t>Particules (PM2,5 et PM10)</w:t>
      </w:r>
      <w:r w:rsidRPr="002E75D4">
        <w:rPr>
          <w:rFonts w:asciiTheme="majorHAnsi" w:hAnsiTheme="majorHAnsi" w:cstheme="majorHAnsi"/>
          <w:sz w:val="24"/>
          <w:szCs w:val="24"/>
        </w:rPr>
        <w:t xml:space="preserve"> : Les matières particulaires (dont le diamètre aérodynamique est inférieur à 2,5 µm (PM2,5) et 10 µm (PM10)) sont de petites particules solides présentes dans l'atmosphère. Elles contribuent le plus aux effets de la pollution atmosphérique sur la santé humaine par leurs effets sur les systèmes cardiovasculaire et respiratoire. Les émissions de PM2,5 et PM10 calculées ici représentent les émissions directes de particules dans l'atmosphère. Cependant, d'autres polluants gazeux, comme les oxydes d'azote, le dioxyde de soufre, l'ammoniac et les composés organiques volatils, contribuent également aux concentrations de PM2,5 et PM10 auxquelles les gens sont exposés, par le biais de réactions chimiques dans l'atmosphère qui transforment les polluants gazeux en particules solides. </w:t>
      </w:r>
    </w:p>
    <w:p w14:paraId="5357477C" w14:textId="77777777" w:rsidR="00C03EC4" w:rsidRPr="002E75D4" w:rsidRDefault="00C03EC4" w:rsidP="00C03EC4">
      <w:pPr>
        <w:pStyle w:val="Paragraphedeliste"/>
        <w:numPr>
          <w:ilvl w:val="0"/>
          <w:numId w:val="23"/>
        </w:numPr>
        <w:spacing w:after="160" w:line="259" w:lineRule="auto"/>
        <w:jc w:val="both"/>
        <w:rPr>
          <w:rFonts w:asciiTheme="majorHAnsi" w:hAnsiTheme="majorHAnsi" w:cstheme="majorHAnsi"/>
          <w:sz w:val="24"/>
          <w:szCs w:val="24"/>
        </w:rPr>
      </w:pPr>
      <w:r w:rsidRPr="002E75D4">
        <w:rPr>
          <w:rFonts w:asciiTheme="majorHAnsi" w:hAnsiTheme="majorHAnsi" w:cstheme="majorHAnsi"/>
          <w:bCs/>
          <w:sz w:val="24"/>
          <w:szCs w:val="24"/>
        </w:rPr>
        <w:t>Oxydes d'azote (NOx)</w:t>
      </w:r>
      <w:r w:rsidRPr="002E75D4">
        <w:rPr>
          <w:rFonts w:asciiTheme="majorHAnsi" w:hAnsiTheme="majorHAnsi" w:cstheme="majorHAnsi"/>
          <w:sz w:val="24"/>
          <w:szCs w:val="24"/>
        </w:rPr>
        <w:t xml:space="preserve"> : Polluant atmosphérique précurseur de la formation de particules et d'ozone troposphérique, le NOx est composé de deux polluants, l'oxyde d'azote (NO) et le dioxyde d'azote (NO2). </w:t>
      </w:r>
    </w:p>
    <w:p w14:paraId="565E46EC" w14:textId="77777777" w:rsidR="00C03EC4" w:rsidRPr="002E75D4" w:rsidRDefault="00C03EC4" w:rsidP="00C03EC4">
      <w:pPr>
        <w:pStyle w:val="Paragraphedeliste"/>
        <w:numPr>
          <w:ilvl w:val="0"/>
          <w:numId w:val="23"/>
        </w:numPr>
        <w:spacing w:after="160" w:line="259" w:lineRule="auto"/>
        <w:jc w:val="both"/>
        <w:rPr>
          <w:rFonts w:asciiTheme="majorHAnsi" w:hAnsiTheme="majorHAnsi" w:cstheme="majorHAnsi"/>
          <w:sz w:val="24"/>
          <w:szCs w:val="24"/>
        </w:rPr>
      </w:pPr>
      <w:r w:rsidRPr="002E75D4">
        <w:rPr>
          <w:rFonts w:asciiTheme="majorHAnsi" w:hAnsiTheme="majorHAnsi" w:cstheme="majorHAnsi"/>
          <w:bCs/>
          <w:sz w:val="24"/>
          <w:szCs w:val="24"/>
        </w:rPr>
        <w:t>Dioxyde de soufre (SO2)</w:t>
      </w:r>
      <w:r w:rsidRPr="002E75D4">
        <w:rPr>
          <w:rFonts w:asciiTheme="majorHAnsi" w:hAnsiTheme="majorHAnsi" w:cstheme="majorHAnsi"/>
          <w:sz w:val="24"/>
          <w:szCs w:val="24"/>
        </w:rPr>
        <w:t xml:space="preserve"> : Un polluant atmosphérique qui est un précurseur de la formation de particules. </w:t>
      </w:r>
    </w:p>
    <w:p w14:paraId="79D3B4A1" w14:textId="77777777" w:rsidR="00C03EC4" w:rsidRPr="002E75D4" w:rsidRDefault="00C03EC4" w:rsidP="00C03EC4">
      <w:pPr>
        <w:pStyle w:val="Paragraphedeliste"/>
        <w:numPr>
          <w:ilvl w:val="0"/>
          <w:numId w:val="23"/>
        </w:numPr>
        <w:spacing w:after="160" w:line="259" w:lineRule="auto"/>
        <w:jc w:val="both"/>
        <w:rPr>
          <w:rFonts w:asciiTheme="majorHAnsi" w:hAnsiTheme="majorHAnsi" w:cstheme="majorHAnsi"/>
          <w:sz w:val="24"/>
          <w:szCs w:val="24"/>
        </w:rPr>
      </w:pPr>
      <w:r w:rsidRPr="002E75D4">
        <w:rPr>
          <w:rFonts w:asciiTheme="majorHAnsi" w:hAnsiTheme="majorHAnsi" w:cstheme="majorHAnsi"/>
          <w:bCs/>
          <w:sz w:val="24"/>
          <w:szCs w:val="24"/>
        </w:rPr>
        <w:t>Ammoniac (NH3)</w:t>
      </w:r>
      <w:r w:rsidRPr="002E75D4">
        <w:rPr>
          <w:rFonts w:asciiTheme="majorHAnsi" w:hAnsiTheme="majorHAnsi" w:cstheme="majorHAnsi"/>
          <w:sz w:val="24"/>
          <w:szCs w:val="24"/>
        </w:rPr>
        <w:t xml:space="preserve"> : Un polluant atmosphérique qui est un précurseur de la formation de particules. </w:t>
      </w:r>
    </w:p>
    <w:p w14:paraId="49C59014" w14:textId="77777777" w:rsidR="00C03EC4" w:rsidRPr="002E75D4" w:rsidRDefault="00C03EC4" w:rsidP="00C03EC4">
      <w:pPr>
        <w:pStyle w:val="Paragraphedeliste"/>
        <w:numPr>
          <w:ilvl w:val="0"/>
          <w:numId w:val="23"/>
        </w:numPr>
        <w:spacing w:after="160" w:line="259" w:lineRule="auto"/>
        <w:jc w:val="both"/>
        <w:rPr>
          <w:rFonts w:asciiTheme="majorHAnsi" w:hAnsiTheme="majorHAnsi" w:cstheme="majorHAnsi"/>
          <w:sz w:val="24"/>
          <w:szCs w:val="24"/>
        </w:rPr>
      </w:pPr>
      <w:r w:rsidRPr="002E75D4">
        <w:rPr>
          <w:rFonts w:asciiTheme="majorHAnsi" w:hAnsiTheme="majorHAnsi" w:cstheme="majorHAnsi"/>
          <w:bCs/>
          <w:sz w:val="24"/>
          <w:szCs w:val="24"/>
        </w:rPr>
        <w:t>Carbone organique (OC)</w:t>
      </w:r>
      <w:r w:rsidRPr="002E75D4">
        <w:rPr>
          <w:rFonts w:asciiTheme="majorHAnsi" w:hAnsiTheme="majorHAnsi" w:cstheme="majorHAnsi"/>
          <w:sz w:val="24"/>
          <w:szCs w:val="24"/>
        </w:rPr>
        <w:t xml:space="preserve"> : Un composant des émissions directes de particules (PM) qui contribue aux effets négatifs de la pollution atmosphérique sur la santé humaine. </w:t>
      </w:r>
    </w:p>
    <w:p w14:paraId="3B353864" w14:textId="77777777" w:rsidR="00C03EC4" w:rsidRPr="002E75D4" w:rsidRDefault="00C03EC4" w:rsidP="00C03EC4">
      <w:pPr>
        <w:pStyle w:val="Paragraphedeliste"/>
        <w:numPr>
          <w:ilvl w:val="0"/>
          <w:numId w:val="23"/>
        </w:numPr>
        <w:spacing w:after="160" w:line="259" w:lineRule="auto"/>
        <w:jc w:val="both"/>
        <w:rPr>
          <w:rFonts w:asciiTheme="majorHAnsi" w:hAnsiTheme="majorHAnsi" w:cstheme="majorHAnsi"/>
          <w:sz w:val="24"/>
          <w:szCs w:val="24"/>
        </w:rPr>
      </w:pPr>
      <w:r w:rsidRPr="002E75D4">
        <w:rPr>
          <w:rFonts w:asciiTheme="majorHAnsi" w:hAnsiTheme="majorHAnsi" w:cstheme="majorHAnsi"/>
          <w:sz w:val="24"/>
          <w:szCs w:val="24"/>
        </w:rPr>
        <w:t>Composés organiques volatils non méthaniques (COVNM) : Un ensemble de molécules organiques différentes émises par une série de sources d'émission. Les COVNM sont des précurseurs de la formation de l'ozone troposphérique et des particules.</w:t>
      </w:r>
    </w:p>
    <w:p w14:paraId="03C1281A" w14:textId="77777777" w:rsidR="00C03EC4" w:rsidRPr="002E75D4" w:rsidRDefault="00C03EC4" w:rsidP="00C03EC4">
      <w:pPr>
        <w:pStyle w:val="Paragraphedeliste"/>
        <w:numPr>
          <w:ilvl w:val="0"/>
          <w:numId w:val="23"/>
        </w:numPr>
        <w:spacing w:after="160" w:line="240" w:lineRule="auto"/>
        <w:jc w:val="both"/>
        <w:rPr>
          <w:rFonts w:asciiTheme="majorHAnsi" w:hAnsiTheme="majorHAnsi" w:cstheme="majorHAnsi"/>
          <w:sz w:val="24"/>
          <w:szCs w:val="24"/>
        </w:rPr>
      </w:pPr>
      <w:r w:rsidRPr="002E75D4">
        <w:rPr>
          <w:rFonts w:asciiTheme="majorHAnsi" w:hAnsiTheme="majorHAnsi" w:cstheme="majorHAnsi"/>
          <w:bCs/>
          <w:sz w:val="24"/>
          <w:szCs w:val="24"/>
        </w:rPr>
        <w:t>Monoxyde de carbone (CO)</w:t>
      </w:r>
      <w:r w:rsidRPr="002E75D4">
        <w:rPr>
          <w:rFonts w:asciiTheme="majorHAnsi" w:hAnsiTheme="majorHAnsi" w:cstheme="majorHAnsi"/>
          <w:sz w:val="24"/>
          <w:szCs w:val="24"/>
        </w:rPr>
        <w:t xml:space="preserve"> : Un polluant atmosphérique gazeux qui contribue à la formation de l'ozone troposphérique.</w:t>
      </w:r>
    </w:p>
    <w:p w14:paraId="242C23C5" w14:textId="77777777" w:rsidR="00C03EC4" w:rsidRPr="002E75D4" w:rsidRDefault="00C03EC4" w:rsidP="00C03EC4">
      <w:pPr>
        <w:pStyle w:val="Paragraphedeliste"/>
        <w:spacing w:after="0" w:line="240" w:lineRule="auto"/>
        <w:jc w:val="both"/>
        <w:rPr>
          <w:rFonts w:asciiTheme="majorHAnsi" w:hAnsiTheme="majorHAnsi" w:cstheme="majorHAnsi"/>
          <w:sz w:val="24"/>
          <w:szCs w:val="24"/>
        </w:rPr>
      </w:pPr>
    </w:p>
    <w:p w14:paraId="4C650A7E" w14:textId="77777777" w:rsidR="00C03EC4" w:rsidRPr="002E75D4" w:rsidRDefault="00C03EC4" w:rsidP="00C03EC4">
      <w:pPr>
        <w:spacing w:after="0" w:line="240" w:lineRule="auto"/>
        <w:jc w:val="both"/>
        <w:rPr>
          <w:rFonts w:asciiTheme="majorHAnsi" w:hAnsiTheme="majorHAnsi" w:cstheme="majorHAnsi"/>
          <w:sz w:val="24"/>
          <w:szCs w:val="24"/>
          <w:lang w:val="fr-ML"/>
        </w:rPr>
      </w:pPr>
      <w:r w:rsidRPr="002E75D4">
        <w:rPr>
          <w:rFonts w:asciiTheme="majorHAnsi" w:hAnsiTheme="majorHAnsi" w:cstheme="majorHAnsi"/>
          <w:sz w:val="24"/>
          <w:szCs w:val="24"/>
          <w:lang w:val="fr-ML"/>
        </w:rPr>
        <w:t xml:space="preserve">L'évaluation intégrée du carbone noir et de l'ozone troposphérique réalisée par le PNUE et l'OMM </w:t>
      </w:r>
      <w:r w:rsidRPr="002E75D4">
        <w:rPr>
          <w:rFonts w:asciiTheme="majorHAnsi" w:hAnsiTheme="majorHAnsi" w:cstheme="majorHAnsi"/>
          <w:sz w:val="24"/>
          <w:szCs w:val="24"/>
          <w:lang w:val="fr-ML"/>
        </w:rPr>
        <w:fldChar w:fldCharType="begin" w:fldLock="1"/>
      </w:r>
      <w:r w:rsidRPr="002E75D4">
        <w:rPr>
          <w:rFonts w:asciiTheme="majorHAnsi" w:hAnsiTheme="majorHAnsi" w:cstheme="majorHAnsi"/>
          <w:sz w:val="24"/>
          <w:szCs w:val="24"/>
          <w:lang w:val="fr-ML"/>
        </w:rPr>
        <w:instrText>ADDIN CSL_CITATION {"citationItems":[{"id":"ITEM-1","itemData":{"author":[{"dropping-particle":"","family":"UNEP/WMO","given":"","non-dropping-particle":"","parse-names":false,"suffix":""}],"id":"ITEM-1","issued":{"date-parts":[["2011"]]},"title":"Integrated Assessment of Black Carbon and Tropospheric Ozone. United Nations Environment Programme, World Meteorological Organisation Report. Available at: https://wedocs.unep.org/rest/bitstreams/12809/retrieve","type":"article-journal"},"suppress-author":1,"uris":["http://www.mendeley.com/documents/?uuid=d68f4f60-d242-45d9-a0a1-620f2ad3cd73"]}],"mendeley":{"formattedCitation":"(2011)","plainTextFormattedCitation":"(2011)","previouslyFormattedCitation":"(2011)"},"properties":{"noteIndex":0},"schema":"https://github.com/citation-style-language/schema/raw/master/csl-citation.json"}</w:instrText>
      </w:r>
      <w:r w:rsidRPr="002E75D4">
        <w:rPr>
          <w:rFonts w:asciiTheme="majorHAnsi" w:hAnsiTheme="majorHAnsi" w:cstheme="majorHAnsi"/>
          <w:sz w:val="24"/>
          <w:szCs w:val="24"/>
          <w:lang w:val="fr-ML"/>
        </w:rPr>
        <w:fldChar w:fldCharType="separate"/>
      </w:r>
      <w:r w:rsidRPr="002E75D4">
        <w:rPr>
          <w:rFonts w:asciiTheme="majorHAnsi" w:hAnsiTheme="majorHAnsi" w:cstheme="majorHAnsi"/>
          <w:sz w:val="24"/>
          <w:szCs w:val="24"/>
          <w:lang w:val="fr-ML"/>
        </w:rPr>
        <w:t xml:space="preserve">(2011) </w:t>
      </w:r>
      <w:r w:rsidRPr="002E75D4">
        <w:rPr>
          <w:rFonts w:asciiTheme="majorHAnsi" w:hAnsiTheme="majorHAnsi" w:cstheme="majorHAnsi"/>
          <w:sz w:val="24"/>
          <w:szCs w:val="24"/>
          <w:lang w:val="fr-ML"/>
        </w:rPr>
        <w:fldChar w:fldCharType="end"/>
      </w:r>
      <w:r w:rsidRPr="002E75D4">
        <w:rPr>
          <w:rFonts w:asciiTheme="majorHAnsi" w:hAnsiTheme="majorHAnsi" w:cstheme="majorHAnsi"/>
          <w:sz w:val="24"/>
          <w:szCs w:val="24"/>
          <w:lang w:val="fr-ML"/>
        </w:rPr>
        <w:t xml:space="preserve">était une évaluation mondiale des avantages de l'adoption de mesures visant à réduire le carbone noir et l'ozone troposphérique. Les mesures d'atténuation qui ciblaient les principales sources de carbone noir et les principales sources de méthane (un précurseur de l'ozone troposphérique) ont été évaluées en fonction de leurs impacts sur la qualité de l'air et sur le climat. Au total, 16 mesures ont été identifiées comme fournissant 90 % des avantages climatiques parmi les centaines de mesures évaluées. Il s'agit notamment de 9 mesures visant le carbone noir, y compris des mesures dans les secteurs résidentiel, agricole, des transports et de l'industrie, et de 7 mesures visant le méthane dans les secteurs de l'agriculture, du pétrole et du gaz et des déchets (le chapitre 4 comprend une description complète de ces mesures). L'évaluation a calculé que la mise en œuvre intégrale de ces mesures présenterait des avantages substantiels en termes de qualité de l'air et de climat, estimant que 2,4 millions de décès prématurés seraient évités en 2030 par rapport au scénario de référence, ainsi que 52 millions de tonnes supplémentaires de 4 cultures de base (riz, blé, maïs et soja) en raison de la diminution des dommages causés aux cultures par l'exposition à l'ozone. Ces avantages en matière de qualité de l'air sont obtenus de manière disproportionnée au niveau local, dans les pays et régions où les réductions d'émissions ont lieu. Dans le même temps, la mise en œuvre de ces mesures permettrait également d'éviter une augmentation de 0,5°C de la température mondiale, contribuant ainsi de manière importante à limiter l'augmentation de la température mondiale lorsqu'elle est associée à une atténuation rapide et ambitieuse des émissions </w:t>
      </w:r>
      <w:r w:rsidRPr="002E75D4">
        <w:rPr>
          <w:rFonts w:asciiTheme="majorHAnsi" w:hAnsiTheme="majorHAnsi" w:cstheme="majorHAnsi"/>
          <w:sz w:val="24"/>
          <w:szCs w:val="24"/>
          <w:vertAlign w:val="subscript"/>
          <w:lang w:val="fr-ML"/>
        </w:rPr>
        <w:t xml:space="preserve">de CO2 </w:t>
      </w:r>
      <w:r w:rsidRPr="002E75D4">
        <w:rPr>
          <w:rFonts w:asciiTheme="majorHAnsi" w:hAnsiTheme="majorHAnsi" w:cstheme="majorHAnsi"/>
          <w:sz w:val="24"/>
          <w:szCs w:val="24"/>
          <w:lang w:val="fr-ML"/>
        </w:rPr>
        <w:t xml:space="preserve">(figure 19). Le carbone noir, le méthane et l'ozone troposphérique, ainsi que les hydrofluorocarbones, ont été appelés "polluants climatiques à courte durée de vie" en raison du temps relativement court qu'ils passent dans l'atmosphère une fois émis (de quelques jours à deux décennies) et de leur impact sur le climat et la qualité de l'air (à l'exception des HFC, qui n'ont qu'un impact sur le climat). Cela signifie que les actions sur les SLCPs peuvent rapidement produire des bénéfices multiples pour la qualité de l'air et le changement climatique </w:t>
      </w:r>
      <w:r w:rsidRPr="002E75D4">
        <w:rPr>
          <w:rFonts w:asciiTheme="majorHAnsi" w:hAnsiTheme="majorHAnsi" w:cstheme="majorHAnsi"/>
          <w:sz w:val="24"/>
          <w:szCs w:val="24"/>
          <w:lang w:val="fr-ML"/>
        </w:rPr>
        <w:fldChar w:fldCharType="begin" w:fldLock="1"/>
      </w:r>
      <w:r w:rsidRPr="002E75D4">
        <w:rPr>
          <w:rFonts w:asciiTheme="majorHAnsi" w:hAnsiTheme="majorHAnsi" w:cstheme="majorHAnsi"/>
          <w:sz w:val="24"/>
          <w:szCs w:val="24"/>
          <w:lang w:val="fr-ML"/>
        </w:rPr>
        <w:instrText>ADDIN CSL_CITATION {"citationItems":[{"id":"ITEM-1","itemData":{"DOI":"10.1126/science.1210026","ISSN":"0036-8075","author":[{"dropping-particle":"","family":"Shindell","given":"D","non-dropping-particle":"","parse-names":false,"suffix":""},{"dropping-particle":"","family":"Kuylenstierna","given":"J C I","non-dropping-particle":"","parse-names":false,"suffix":""},{"dropping-particle":"","family":"Vignati","given":"E","non-dropping-particle":"","parse-names":false,"suffix":""},{"dropping-particle":"","family":"Dingenen","given":"R","non-dropping-particle":"van","parse-names":false,"suffix":""},{"dropping-particle":"","family":"Amann","given":"M","non-dropping-particle":"","parse-names":false,"suffix":""},{"dropping-particle":"","family":"Klimont","given":"Z","non-dropping-particle":"","parse-names":false,"suffix":""},{"dropping-particle":"","family":"Anenberg","given":"S C","non-dropping-particle":"","parse-names":false,"suffix":""},{"dropping-particle":"","family":"Muller","given":"N","non-dropping-particle":"","parse-names":false,"suffix":""},{"dropping-particle":"","family":"Janssens-Maenhout","given":"G","non-dropping-particle":"","parse-names":false,"suffix":""},{"dropping-particle":"","family":"Raes","given":"F","non-dropping-particle":"","parse-names":false,"suffix":""},{"dropping-particle":"","family":"Schwartz","given":"J","non-dropping-particle":"","parse-names":false,"suffix":""},{"dropping-particle":"","family":"Faluvegi","given":"G","non-dropping-particle":"","parse-names":false,"suffix":""},{"dropping-particle":"","family":"Pozzoli","given":"L","non-dropping-particle":"","parse-names":false,"suffix":""},{"dropping-particle":"","family":"Kupiainen","given":"K","non-dropping-particle":"","parse-names":false,"suffix":""},{"dropping-particle":"","family":"Hoglund-Isaksson","given":"L","non-dropping-particle":"","parse-names":false,"suffix":""},{"dropping-particle":"","family":"Emberson","given":"L","non-dropping-particle":"","parse-names":false,"suffix":""},{"dropping-particle":"","family":"Streets","given":"D","non-dropping-particle":"","parse-names":false,"suffix":""},{"dropping-particle":"","family":"Ramanathan","given":"V","non-dropping-particle":"","parse-names":false,"suffix":""},{"dropping-particle":"","family":"Hicks","given":"K","non-dropping-particle":"","parse-names":false,"suffix":""},{"dropping-particle":"","family":"Oanh","given":"N T K","non-dropping-particle":"","parse-names":false,"suffix":""},{"dropping-particle":"","family":"Milly","given":"G","non-dropping-particle":"","parse-names":false,"suffix":""},{"dropping-particle":"","family":"Williams","given":"M","non-dropping-particle":"","parse-names":false,"suffix":""},{"dropping-particle":"","family":"Demkine","given":"V","non-dropping-particle":"","parse-names":false,"suffix":""},{"dropping-particle":"","family":"Fowler","given":"D","non-dropping-particle":"","parse-names":false,"suffix":""}],"container-title":"Science","id":"ITEM-1","issue":"6065","issued":{"date-parts":[["2012"]]},"page":"183-189","title":"Simultaneously Mitigating Near-Term Climate Change and Improving Human Health and Food Security","type":"article-journal","volume":"335"},"uris":["http://www.mendeley.com/documents/?uuid=06663e58-673e-4e83-adea-69ed70d1ac10"]}],"mendeley":{"formattedCitation":"(Shindell et al., 2012)","plainTextFormattedCitation":"(Shindell et al., 2012)","previouslyFormattedCitation":"(Shindell et al., 2012)"},"properties":{"noteIndex":0},"schema":"https://github.com/citation-style-language/schema/raw/master/csl-citation.json"}</w:instrText>
      </w:r>
      <w:r w:rsidRPr="002E75D4">
        <w:rPr>
          <w:rFonts w:asciiTheme="majorHAnsi" w:hAnsiTheme="majorHAnsi" w:cstheme="majorHAnsi"/>
          <w:sz w:val="24"/>
          <w:szCs w:val="24"/>
          <w:lang w:val="fr-ML"/>
        </w:rPr>
        <w:fldChar w:fldCharType="separate"/>
      </w:r>
      <w:r w:rsidRPr="002E75D4">
        <w:rPr>
          <w:rFonts w:asciiTheme="majorHAnsi" w:hAnsiTheme="majorHAnsi" w:cstheme="majorHAnsi"/>
          <w:noProof/>
          <w:sz w:val="24"/>
          <w:szCs w:val="24"/>
          <w:lang w:val="fr-ML"/>
        </w:rPr>
        <w:t>(Shindell et al., 2012)</w:t>
      </w:r>
      <w:r w:rsidRPr="002E75D4">
        <w:rPr>
          <w:rFonts w:asciiTheme="majorHAnsi" w:hAnsiTheme="majorHAnsi" w:cstheme="majorHAnsi"/>
          <w:sz w:val="24"/>
          <w:szCs w:val="24"/>
          <w:lang w:val="fr-ML"/>
        </w:rPr>
        <w:fldChar w:fldCharType="end"/>
      </w:r>
      <w:r w:rsidRPr="002E75D4">
        <w:rPr>
          <w:rFonts w:asciiTheme="majorHAnsi" w:hAnsiTheme="majorHAnsi" w:cstheme="majorHAnsi"/>
          <w:sz w:val="24"/>
          <w:szCs w:val="24"/>
          <w:lang w:val="fr-ML"/>
        </w:rPr>
        <w:t>.</w:t>
      </w:r>
    </w:p>
    <w:p w14:paraId="5B505A04" w14:textId="77777777" w:rsidR="00C03EC4" w:rsidRPr="002E75D4" w:rsidRDefault="00C03EC4" w:rsidP="00C03EC4">
      <w:pPr>
        <w:spacing w:after="0"/>
        <w:jc w:val="both"/>
        <w:rPr>
          <w:rFonts w:asciiTheme="majorHAnsi" w:hAnsiTheme="majorHAnsi" w:cstheme="majorHAnsi"/>
          <w:lang w:val="fr-ML"/>
        </w:rPr>
      </w:pPr>
    </w:p>
    <w:p w14:paraId="349A27EA" w14:textId="77777777" w:rsidR="00C03EC4" w:rsidRPr="002E75D4" w:rsidRDefault="00C03EC4" w:rsidP="00C03EC4">
      <w:pPr>
        <w:spacing w:after="0"/>
        <w:jc w:val="both"/>
        <w:rPr>
          <w:rFonts w:asciiTheme="majorHAnsi" w:hAnsiTheme="majorHAnsi" w:cstheme="majorHAnsi"/>
        </w:rPr>
      </w:pPr>
      <w:r w:rsidRPr="002E75D4">
        <w:rPr>
          <w:rFonts w:asciiTheme="majorHAnsi" w:hAnsiTheme="majorHAnsi" w:cstheme="majorHAnsi"/>
          <w:noProof/>
          <w:lang w:eastAsia="fr-FR"/>
        </w:rPr>
        <w:drawing>
          <wp:anchor distT="0" distB="0" distL="114300" distR="114300" simplePos="0" relativeHeight="251662336" behindDoc="0" locked="0" layoutInCell="1" allowOverlap="1" wp14:anchorId="6B75D787" wp14:editId="22DA4E74">
            <wp:simplePos x="0" y="0"/>
            <wp:positionH relativeFrom="margin">
              <wp:posOffset>67310</wp:posOffset>
            </wp:positionH>
            <wp:positionV relativeFrom="paragraph">
              <wp:posOffset>162560</wp:posOffset>
            </wp:positionV>
            <wp:extent cx="6089650" cy="4146550"/>
            <wp:effectExtent l="0" t="0" r="6350" b="6350"/>
            <wp:wrapTopAndBottom/>
            <wp:docPr id="17" name="Picture 17" descr="https://www.ccacoalition.org/sites/default/files/slcp-climate-benef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cacoalition.org/sites/default/files/slcp-climate-benefit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9650" cy="414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A1B65" w14:textId="77777777" w:rsidR="00C03EC4" w:rsidRPr="002E75D4" w:rsidRDefault="00C03EC4" w:rsidP="00C03EC4">
      <w:pPr>
        <w:spacing w:after="0"/>
        <w:jc w:val="both"/>
        <w:rPr>
          <w:rFonts w:asciiTheme="majorHAnsi" w:hAnsiTheme="majorHAnsi" w:cstheme="majorHAnsi"/>
        </w:rPr>
      </w:pPr>
    </w:p>
    <w:p w14:paraId="4DF9ADEF" w14:textId="77777777" w:rsidR="00C03EC4" w:rsidRPr="002E75D4" w:rsidRDefault="00C03EC4" w:rsidP="00C03EC4">
      <w:pPr>
        <w:spacing w:after="0"/>
        <w:jc w:val="center"/>
        <w:rPr>
          <w:rFonts w:asciiTheme="majorHAnsi" w:hAnsiTheme="majorHAnsi" w:cstheme="majorHAnsi"/>
        </w:rPr>
      </w:pPr>
      <w:r w:rsidRPr="00B13E5A">
        <w:rPr>
          <w:rFonts w:asciiTheme="majorHAnsi" w:hAnsiTheme="majorHAnsi" w:cstheme="majorHAnsi"/>
          <w:b/>
          <w:u w:val="single"/>
        </w:rPr>
        <w:t>Figure 19:</w:t>
      </w:r>
      <w:r w:rsidRPr="002E75D4">
        <w:rPr>
          <w:rFonts w:asciiTheme="majorHAnsi" w:hAnsiTheme="majorHAnsi" w:cstheme="majorHAnsi"/>
        </w:rPr>
        <w:t xml:space="preserve"> Vue d'ensemble des avantages de l'action sur les polluants climatiques à courte durée de vie pour</w:t>
      </w:r>
    </w:p>
    <w:p w14:paraId="7E928529" w14:textId="77777777" w:rsidR="00C03EC4" w:rsidRPr="002E75D4" w:rsidRDefault="00C03EC4" w:rsidP="00C03EC4">
      <w:pPr>
        <w:spacing w:after="0"/>
        <w:jc w:val="center"/>
        <w:rPr>
          <w:rFonts w:asciiTheme="majorHAnsi" w:hAnsiTheme="majorHAnsi" w:cstheme="majorHAnsi"/>
        </w:rPr>
      </w:pPr>
      <w:r w:rsidRPr="002E75D4">
        <w:rPr>
          <w:rFonts w:asciiTheme="majorHAnsi" w:hAnsiTheme="majorHAnsi" w:cstheme="majorHAnsi"/>
        </w:rPr>
        <w:t>le changement climatique</w:t>
      </w:r>
    </w:p>
    <w:p w14:paraId="560B5FD8" w14:textId="77777777" w:rsidR="00C03EC4" w:rsidRPr="002E75D4" w:rsidRDefault="00C03EC4" w:rsidP="00C03EC4">
      <w:pPr>
        <w:spacing w:after="0"/>
        <w:jc w:val="center"/>
        <w:rPr>
          <w:rFonts w:asciiTheme="majorHAnsi" w:hAnsiTheme="majorHAnsi" w:cstheme="majorHAnsi"/>
        </w:rPr>
      </w:pPr>
      <w:r w:rsidRPr="002E75D4">
        <w:rPr>
          <w:rFonts w:asciiTheme="majorHAnsi" w:hAnsiTheme="majorHAnsi" w:cstheme="majorHAnsi"/>
          <w:b/>
          <w:noProof/>
          <w:lang w:eastAsia="fr-FR"/>
        </w:rPr>
        <w:drawing>
          <wp:anchor distT="0" distB="0" distL="114300" distR="114300" simplePos="0" relativeHeight="251674624" behindDoc="0" locked="0" layoutInCell="1" allowOverlap="1" wp14:anchorId="2C008E16" wp14:editId="2C57A295">
            <wp:simplePos x="0" y="0"/>
            <wp:positionH relativeFrom="margin">
              <wp:posOffset>88265</wp:posOffset>
            </wp:positionH>
            <wp:positionV relativeFrom="paragraph">
              <wp:posOffset>378460</wp:posOffset>
            </wp:positionV>
            <wp:extent cx="6017260" cy="2373630"/>
            <wp:effectExtent l="0" t="0" r="2540" b="7620"/>
            <wp:wrapTopAndBottom/>
            <wp:docPr id="4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t="18265"/>
                    <a:stretch/>
                  </pic:blipFill>
                  <pic:spPr bwMode="auto">
                    <a:xfrm>
                      <a:off x="0" y="0"/>
                      <a:ext cx="6017260" cy="2373630"/>
                    </a:xfrm>
                    <a:prstGeom prst="rect">
                      <a:avLst/>
                    </a:prstGeom>
                    <a:noFill/>
                    <a:ln w="31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8B551" w14:textId="77777777" w:rsidR="00C03EC4" w:rsidRPr="00B13E5A" w:rsidRDefault="00C03EC4" w:rsidP="00C03EC4">
      <w:pPr>
        <w:spacing w:after="0"/>
        <w:jc w:val="both"/>
        <w:rPr>
          <w:rFonts w:asciiTheme="majorHAnsi" w:hAnsiTheme="majorHAnsi" w:cstheme="majorHAnsi"/>
          <w:b/>
          <w:noProof/>
          <w:u w:val="single"/>
        </w:rPr>
      </w:pPr>
    </w:p>
    <w:p w14:paraId="0500A1B9" w14:textId="77777777" w:rsidR="00C03EC4" w:rsidRPr="002E75D4" w:rsidRDefault="00C03EC4" w:rsidP="00C03EC4">
      <w:pPr>
        <w:spacing w:after="0"/>
        <w:jc w:val="both"/>
        <w:rPr>
          <w:rFonts w:asciiTheme="majorHAnsi" w:hAnsiTheme="majorHAnsi" w:cstheme="majorHAnsi"/>
          <w:sz w:val="20"/>
        </w:rPr>
      </w:pPr>
      <w:r w:rsidRPr="00B13E5A">
        <w:rPr>
          <w:rFonts w:asciiTheme="majorHAnsi" w:hAnsiTheme="majorHAnsi" w:cstheme="majorHAnsi"/>
          <w:b/>
          <w:u w:val="single"/>
        </w:rPr>
        <w:t>Figure 20</w:t>
      </w:r>
      <w:r w:rsidRPr="002E75D4">
        <w:rPr>
          <w:rFonts w:asciiTheme="majorHAnsi" w:hAnsiTheme="majorHAnsi" w:cstheme="majorHAnsi"/>
          <w:b/>
        </w:rPr>
        <w:t xml:space="preserve"> :</w:t>
      </w:r>
      <w:r w:rsidRPr="002E75D4">
        <w:rPr>
          <w:rFonts w:asciiTheme="majorHAnsi" w:hAnsiTheme="majorHAnsi" w:cstheme="majorHAnsi"/>
        </w:rPr>
        <w:t xml:space="preserve"> Réduction des émissions de carbone noir résultant de la mise en œuvre des mesures d'atténuation des gaz à effet de serre évaluées</w:t>
      </w:r>
      <w:r w:rsidRPr="002E75D4">
        <w:rPr>
          <w:rFonts w:asciiTheme="majorHAnsi" w:hAnsiTheme="majorHAnsi" w:cstheme="majorHAnsi"/>
          <w:sz w:val="20"/>
        </w:rPr>
        <w:t xml:space="preserve">. </w:t>
      </w:r>
    </w:p>
    <w:p w14:paraId="0448D9A7" w14:textId="77777777" w:rsidR="00C03EC4" w:rsidRPr="002E75D4" w:rsidRDefault="00C03EC4" w:rsidP="00C03EC4">
      <w:pPr>
        <w:spacing w:after="0"/>
        <w:jc w:val="both"/>
        <w:rPr>
          <w:rFonts w:asciiTheme="majorHAnsi" w:hAnsiTheme="majorHAnsi" w:cstheme="majorHAnsi"/>
          <w:sz w:val="20"/>
        </w:rPr>
      </w:pPr>
    </w:p>
    <w:p w14:paraId="79D28BEB" w14:textId="77777777" w:rsidR="00C03EC4" w:rsidRPr="002E75D4" w:rsidRDefault="00C03EC4" w:rsidP="00C03EC4">
      <w:pPr>
        <w:spacing w:after="0"/>
        <w:jc w:val="both"/>
        <w:rPr>
          <w:rFonts w:asciiTheme="majorHAnsi" w:hAnsiTheme="majorHAnsi" w:cstheme="majorHAnsi"/>
        </w:rPr>
      </w:pPr>
    </w:p>
    <w:p w14:paraId="1D4EB5AD" w14:textId="77777777" w:rsidR="00C03EC4" w:rsidRPr="002E75D4" w:rsidRDefault="00C03EC4" w:rsidP="00C03EC4">
      <w:pPr>
        <w:spacing w:after="0"/>
        <w:ind w:left="360" w:hanging="360"/>
        <w:jc w:val="both"/>
        <w:rPr>
          <w:rFonts w:asciiTheme="majorHAnsi" w:hAnsiTheme="majorHAnsi" w:cstheme="majorHAnsi"/>
        </w:rPr>
      </w:pPr>
      <w:r w:rsidRPr="002E75D4">
        <w:rPr>
          <w:rFonts w:asciiTheme="majorHAnsi" w:hAnsiTheme="majorHAnsi" w:cstheme="majorHAnsi"/>
          <w:noProof/>
          <w:lang w:eastAsia="fr-FR"/>
        </w:rPr>
        <w:drawing>
          <wp:inline distT="0" distB="0" distL="0" distR="0" wp14:anchorId="3904F7A2" wp14:editId="0E9CE2F6">
            <wp:extent cx="6108879" cy="309029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t="17305" r="-636" b="-1147"/>
                    <a:stretch/>
                  </pic:blipFill>
                  <pic:spPr bwMode="auto">
                    <a:xfrm>
                      <a:off x="0" y="0"/>
                      <a:ext cx="6097525" cy="3084548"/>
                    </a:xfrm>
                    <a:prstGeom prst="rect">
                      <a:avLst/>
                    </a:prstGeom>
                    <a:noFill/>
                    <a:ln w="3175">
                      <a:noFill/>
                    </a:ln>
                    <a:extLst>
                      <a:ext uri="{53640926-AAD7-44D8-BBD7-CCE9431645EC}">
                        <a14:shadowObscured xmlns:a14="http://schemas.microsoft.com/office/drawing/2010/main"/>
                      </a:ext>
                    </a:extLst>
                  </pic:spPr>
                </pic:pic>
              </a:graphicData>
            </a:graphic>
          </wp:inline>
        </w:drawing>
      </w:r>
    </w:p>
    <w:p w14:paraId="6F9C78B3" w14:textId="77777777" w:rsidR="00C03EC4" w:rsidRPr="002E75D4" w:rsidRDefault="00C03EC4" w:rsidP="00C03EC4">
      <w:pPr>
        <w:spacing w:after="0"/>
        <w:jc w:val="center"/>
        <w:rPr>
          <w:rFonts w:asciiTheme="majorHAnsi" w:hAnsiTheme="majorHAnsi" w:cstheme="majorHAnsi"/>
        </w:rPr>
      </w:pPr>
      <w:r w:rsidRPr="00B13E5A">
        <w:rPr>
          <w:rFonts w:asciiTheme="majorHAnsi" w:hAnsiTheme="majorHAnsi" w:cstheme="majorHAnsi"/>
          <w:b/>
          <w:u w:val="single"/>
        </w:rPr>
        <w:t>Figure 21</w:t>
      </w:r>
      <w:r w:rsidRPr="002E75D4">
        <w:rPr>
          <w:rFonts w:asciiTheme="majorHAnsi" w:hAnsiTheme="majorHAnsi" w:cstheme="majorHAnsi"/>
          <w:b/>
        </w:rPr>
        <w:t xml:space="preserve"> :</w:t>
      </w:r>
      <w:r w:rsidRPr="002E75D4">
        <w:rPr>
          <w:rFonts w:asciiTheme="majorHAnsi" w:hAnsiTheme="majorHAnsi" w:cstheme="majorHAnsi"/>
        </w:rPr>
        <w:t xml:space="preserve"> Réduction des émissions de particules fines (PM2</w:t>
      </w:r>
      <w:r w:rsidRPr="002E75D4">
        <w:rPr>
          <w:rFonts w:asciiTheme="majorHAnsi" w:hAnsiTheme="majorHAnsi" w:cstheme="majorHAnsi"/>
          <w:vertAlign w:val="subscript"/>
        </w:rPr>
        <w:t>5</w:t>
      </w:r>
      <w:r w:rsidRPr="002E75D4">
        <w:rPr>
          <w:rFonts w:asciiTheme="majorHAnsi" w:hAnsiTheme="majorHAnsi" w:cstheme="majorHAnsi"/>
          <w:vertAlign w:val="subscript"/>
        </w:rPr>
        <w:softHyphen/>
        <w:t>)</w:t>
      </w:r>
      <w:r w:rsidRPr="002E75D4">
        <w:rPr>
          <w:rFonts w:asciiTheme="majorHAnsi" w:hAnsiTheme="majorHAnsi" w:cstheme="majorHAnsi"/>
        </w:rPr>
        <w:t xml:space="preserve"> grâce à la mise en œuvre des mesures d'atténuation des gaz à effet de serre évaluées.</w:t>
      </w:r>
    </w:p>
    <w:p w14:paraId="60CF5679" w14:textId="77777777" w:rsidR="00C03EC4" w:rsidRPr="002E75D4" w:rsidRDefault="00C03EC4" w:rsidP="00C03EC4">
      <w:pPr>
        <w:spacing w:after="0"/>
        <w:jc w:val="center"/>
        <w:rPr>
          <w:rFonts w:asciiTheme="majorHAnsi" w:hAnsiTheme="majorHAnsi" w:cstheme="majorHAnsi"/>
        </w:rPr>
      </w:pPr>
    </w:p>
    <w:p w14:paraId="0D354C15" w14:textId="77777777" w:rsidR="00C03EC4" w:rsidRPr="002E75D4" w:rsidRDefault="00C03EC4" w:rsidP="00C03EC4">
      <w:pPr>
        <w:pStyle w:val="Paragraphedeliste"/>
        <w:spacing w:after="0"/>
        <w:ind w:left="0"/>
        <w:jc w:val="both"/>
        <w:rPr>
          <w:rFonts w:asciiTheme="majorHAnsi" w:hAnsiTheme="majorHAnsi" w:cstheme="majorHAnsi"/>
        </w:rPr>
      </w:pPr>
      <w:r w:rsidRPr="002E75D4">
        <w:rPr>
          <w:rFonts w:asciiTheme="majorHAnsi" w:hAnsiTheme="majorHAnsi" w:cstheme="majorHAnsi"/>
          <w:noProof/>
        </w:rPr>
        <w:drawing>
          <wp:inline distT="0" distB="0" distL="0" distR="0" wp14:anchorId="33BBBA6E" wp14:editId="43EBD73E">
            <wp:extent cx="6091823" cy="3005070"/>
            <wp:effectExtent l="19050" t="19050" r="23495" b="2413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t="17802"/>
                    <a:stretch/>
                  </pic:blipFill>
                  <pic:spPr bwMode="auto">
                    <a:xfrm>
                      <a:off x="0" y="0"/>
                      <a:ext cx="6088098" cy="3003232"/>
                    </a:xfrm>
                    <a:prstGeom prst="rect">
                      <a:avLst/>
                    </a:prstGeom>
                    <a:ln>
                      <a:solidFill>
                        <a:schemeClr val="bg1"/>
                      </a:solidFill>
                    </a:ln>
                    <a:effectLst>
                      <a:softEdge rad="112500"/>
                    </a:effectLst>
                    <a:extLst>
                      <a:ext uri="{53640926-AAD7-44D8-BBD7-CCE9431645EC}">
                        <a14:shadowObscured xmlns:a14="http://schemas.microsoft.com/office/drawing/2010/main"/>
                      </a:ext>
                    </a:extLst>
                  </pic:spPr>
                </pic:pic>
              </a:graphicData>
            </a:graphic>
          </wp:inline>
        </w:drawing>
      </w:r>
    </w:p>
    <w:p w14:paraId="50B4793A" w14:textId="77777777" w:rsidR="00C03EC4" w:rsidRPr="002E75D4" w:rsidRDefault="00C03EC4" w:rsidP="00C03EC4">
      <w:pPr>
        <w:spacing w:after="0"/>
        <w:jc w:val="center"/>
        <w:rPr>
          <w:rFonts w:asciiTheme="majorHAnsi" w:hAnsiTheme="majorHAnsi" w:cstheme="majorHAnsi"/>
        </w:rPr>
      </w:pPr>
      <w:r w:rsidRPr="002E75D4">
        <w:rPr>
          <w:rFonts w:asciiTheme="majorHAnsi" w:hAnsiTheme="majorHAnsi" w:cstheme="majorHAnsi"/>
          <w:b/>
        </w:rPr>
        <w:t>Figure 22 :</w:t>
      </w:r>
      <w:r w:rsidRPr="002E75D4">
        <w:rPr>
          <w:rFonts w:asciiTheme="majorHAnsi" w:hAnsiTheme="majorHAnsi" w:cstheme="majorHAnsi"/>
        </w:rPr>
        <w:t xml:space="preserve"> Réduction des émissions d'oxydes d'azote (NOx) résultant de la mise en œuvre des mesures d'atténuation des gaz à effet de serre évaluées.</w:t>
      </w:r>
    </w:p>
    <w:p w14:paraId="369B775E" w14:textId="77777777" w:rsidR="00C03EC4" w:rsidRPr="002E75D4" w:rsidRDefault="00C03EC4" w:rsidP="00C03EC4">
      <w:pPr>
        <w:pStyle w:val="Paragraphedeliste"/>
        <w:spacing w:after="0" w:line="240" w:lineRule="auto"/>
        <w:jc w:val="both"/>
        <w:rPr>
          <w:rFonts w:asciiTheme="majorHAnsi" w:hAnsiTheme="majorHAnsi" w:cstheme="majorHAnsi"/>
        </w:rPr>
      </w:pPr>
    </w:p>
    <w:p w14:paraId="053F2E10" w14:textId="77777777" w:rsidR="00C03EC4" w:rsidRDefault="00C03EC4" w:rsidP="00C03EC4">
      <w:pPr>
        <w:spacing w:after="0" w:line="240" w:lineRule="auto"/>
        <w:jc w:val="both"/>
        <w:rPr>
          <w:rFonts w:asciiTheme="majorHAnsi" w:hAnsiTheme="majorHAnsi" w:cstheme="majorHAnsi"/>
          <w:sz w:val="24"/>
          <w:lang w:val="fr-ML"/>
        </w:rPr>
      </w:pPr>
      <w:r w:rsidRPr="002E75D4">
        <w:rPr>
          <w:rFonts w:asciiTheme="majorHAnsi" w:hAnsiTheme="majorHAnsi" w:cstheme="majorHAnsi"/>
          <w:sz w:val="24"/>
          <w:lang w:val="fr-ML"/>
        </w:rPr>
        <w:t>Les mesures d'atténuation des gaz à effet de serre évaluées dans le tableau  18 sont également efficaces pour réduire les émissions de polluants atmosphériques et de polluants climatiques à courte durée de vie. La mise en œuvre des 15 mesures d'atténuation énumérées dans le tableau 42 permettrait de réduire les émissions de carbone noir de 42 % en 2030 par rapport à un scénario de référence, les émissions de particules fines (PM2</w:t>
      </w:r>
      <w:r w:rsidRPr="002E75D4">
        <w:rPr>
          <w:rFonts w:asciiTheme="majorHAnsi" w:hAnsiTheme="majorHAnsi" w:cstheme="majorHAnsi"/>
          <w:sz w:val="24"/>
          <w:vertAlign w:val="subscript"/>
          <w:lang w:val="fr-ML"/>
        </w:rPr>
        <w:t>,5</w:t>
      </w:r>
      <w:r w:rsidRPr="002E75D4">
        <w:rPr>
          <w:rFonts w:asciiTheme="majorHAnsi" w:hAnsiTheme="majorHAnsi" w:cstheme="majorHAnsi"/>
          <w:sz w:val="24"/>
          <w:lang w:val="fr-ML"/>
        </w:rPr>
        <w:t xml:space="preserve">) de 45 % et les émissions d'oxyde d'azote de 21 %. Il s'agit également de polluants atmosphériques nocifs qui ont des répercussions négatives sur la santé en raison de maladies respiratoires et cardiovasculaires. </w:t>
      </w:r>
    </w:p>
    <w:p w14:paraId="63D6D847" w14:textId="77777777" w:rsidR="00C03EC4" w:rsidRDefault="00C03EC4" w:rsidP="00C03EC4">
      <w:pPr>
        <w:spacing w:after="0" w:line="240" w:lineRule="auto"/>
        <w:jc w:val="both"/>
        <w:rPr>
          <w:rFonts w:asciiTheme="majorHAnsi" w:hAnsiTheme="majorHAnsi" w:cstheme="majorHAnsi"/>
          <w:sz w:val="24"/>
          <w:lang w:val="fr-ML"/>
        </w:rPr>
      </w:pPr>
    </w:p>
    <w:p w14:paraId="44340C09" w14:textId="77777777" w:rsidR="00C03EC4" w:rsidRDefault="00C03EC4" w:rsidP="00C03EC4">
      <w:pPr>
        <w:spacing w:after="0" w:line="240" w:lineRule="auto"/>
        <w:jc w:val="both"/>
        <w:rPr>
          <w:rFonts w:asciiTheme="majorHAnsi" w:hAnsiTheme="majorHAnsi" w:cstheme="majorHAnsi"/>
          <w:sz w:val="24"/>
          <w:lang w:val="fr-ML"/>
        </w:rPr>
      </w:pPr>
      <w:r w:rsidRPr="002E75D4">
        <w:rPr>
          <w:rFonts w:asciiTheme="majorHAnsi" w:hAnsiTheme="majorHAnsi" w:cstheme="majorHAnsi"/>
          <w:sz w:val="24"/>
          <w:lang w:val="fr-ML"/>
        </w:rPr>
        <w:t>La réduction des émissions de carbone noir et d'autres polluants atmosphériques signifie que les mesures prises pour réduire la contribution</w:t>
      </w:r>
    </w:p>
    <w:p w14:paraId="1BBE92DC" w14:textId="77777777" w:rsidR="00C03EC4" w:rsidRPr="002E75D4" w:rsidRDefault="00C03EC4" w:rsidP="00C03EC4">
      <w:pPr>
        <w:spacing w:after="0" w:line="240" w:lineRule="auto"/>
        <w:jc w:val="both"/>
        <w:rPr>
          <w:rFonts w:asciiTheme="majorHAnsi" w:hAnsiTheme="majorHAnsi" w:cstheme="majorHAnsi"/>
          <w:sz w:val="24"/>
          <w:lang w:val="fr-ML"/>
        </w:rPr>
      </w:pPr>
      <w:r w:rsidRPr="002E75D4">
        <w:rPr>
          <w:rFonts w:asciiTheme="majorHAnsi" w:hAnsiTheme="majorHAnsi" w:cstheme="majorHAnsi"/>
          <w:sz w:val="24"/>
          <w:lang w:val="fr-ML"/>
        </w:rPr>
        <w:t xml:space="preserve">du Mali au changement climatique profiteront également aux Maliens grâce à l'amélioration de la qualité de l'air. </w:t>
      </w:r>
    </w:p>
    <w:p w14:paraId="7914B060" w14:textId="77777777" w:rsidR="00C03EC4" w:rsidRPr="002E75D4" w:rsidRDefault="00C03EC4" w:rsidP="00C03EC4">
      <w:pPr>
        <w:spacing w:after="0" w:line="240" w:lineRule="auto"/>
        <w:jc w:val="both"/>
        <w:rPr>
          <w:rFonts w:asciiTheme="majorHAnsi" w:hAnsiTheme="majorHAnsi" w:cstheme="majorHAnsi"/>
          <w:sz w:val="24"/>
          <w:lang w:val="fr-ML"/>
        </w:rPr>
      </w:pPr>
    </w:p>
    <w:p w14:paraId="29BF4465"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b/>
          <w:bCs/>
          <w:sz w:val="24"/>
          <w:szCs w:val="24"/>
        </w:rPr>
        <w:t>Tableau 18:</w:t>
      </w:r>
      <w:r w:rsidRPr="002E75D4">
        <w:rPr>
          <w:rFonts w:asciiTheme="majorHAnsi" w:hAnsiTheme="majorHAnsi" w:cstheme="majorHAnsi"/>
          <w:sz w:val="24"/>
          <w:szCs w:val="24"/>
        </w:rPr>
        <w:t xml:space="preserve"> Réduction individuelle des GES en 2030 par rapport à un scénario de référence</w:t>
      </w:r>
    </w:p>
    <w:tbl>
      <w:tblPr>
        <w:tblStyle w:val="Grillemoyenne3-Accent1"/>
        <w:tblW w:w="5007" w:type="pct"/>
        <w:tblLook w:val="0420" w:firstRow="1" w:lastRow="0" w:firstColumn="0" w:lastColumn="0" w:noHBand="0" w:noVBand="1"/>
      </w:tblPr>
      <w:tblGrid>
        <w:gridCol w:w="611"/>
        <w:gridCol w:w="1208"/>
        <w:gridCol w:w="4263"/>
        <w:gridCol w:w="3550"/>
      </w:tblGrid>
      <w:tr w:rsidR="00C03EC4" w:rsidRPr="002E75D4" w14:paraId="286C2C3B" w14:textId="77777777" w:rsidTr="000D6136">
        <w:trPr>
          <w:cnfStyle w:val="100000000000" w:firstRow="1" w:lastRow="0" w:firstColumn="0" w:lastColumn="0" w:oddVBand="0" w:evenVBand="0" w:oddHBand="0" w:evenHBand="0" w:firstRowFirstColumn="0" w:firstRowLastColumn="0" w:lastRowFirstColumn="0" w:lastRowLastColumn="0"/>
          <w:trHeight w:val="721"/>
        </w:trPr>
        <w:tc>
          <w:tcPr>
            <w:tcW w:w="331" w:type="pct"/>
            <w:shd w:val="clear" w:color="auto" w:fill="C00000"/>
          </w:tcPr>
          <w:p w14:paraId="29AF915D" w14:textId="77777777" w:rsidR="00C03EC4" w:rsidRPr="002E75D4" w:rsidRDefault="00C03EC4" w:rsidP="000D6136">
            <w:pPr>
              <w:rPr>
                <w:rFonts w:asciiTheme="majorHAnsi" w:hAnsiTheme="majorHAnsi" w:cstheme="majorHAnsi"/>
                <w:bCs w:val="0"/>
                <w:color w:val="auto"/>
                <w:sz w:val="20"/>
                <w:szCs w:val="20"/>
                <w:lang w:val="fr-ML"/>
              </w:rPr>
            </w:pPr>
            <w:r w:rsidRPr="002E75D4">
              <w:rPr>
                <w:rFonts w:asciiTheme="majorHAnsi" w:hAnsiTheme="majorHAnsi" w:cstheme="majorHAnsi"/>
                <w:bCs w:val="0"/>
                <w:color w:val="auto"/>
                <w:sz w:val="20"/>
                <w:szCs w:val="20"/>
                <w:lang w:val="fr-ML"/>
              </w:rPr>
              <w:t>Non.</w:t>
            </w:r>
          </w:p>
        </w:tc>
        <w:tc>
          <w:tcPr>
            <w:tcW w:w="585" w:type="pct"/>
            <w:shd w:val="clear" w:color="auto" w:fill="002060"/>
          </w:tcPr>
          <w:p w14:paraId="4F6858E1" w14:textId="77777777" w:rsidR="00C03EC4" w:rsidRPr="002E75D4" w:rsidRDefault="00C03EC4" w:rsidP="000D6136">
            <w:pPr>
              <w:rPr>
                <w:rFonts w:asciiTheme="majorHAnsi" w:hAnsiTheme="majorHAnsi" w:cstheme="majorHAnsi"/>
                <w:bCs w:val="0"/>
                <w:color w:val="auto"/>
                <w:sz w:val="20"/>
                <w:szCs w:val="20"/>
                <w:lang w:val="fr-ML"/>
              </w:rPr>
            </w:pPr>
            <w:r w:rsidRPr="002E75D4">
              <w:rPr>
                <w:rFonts w:asciiTheme="majorHAnsi" w:hAnsiTheme="majorHAnsi" w:cstheme="majorHAnsi"/>
                <w:bCs w:val="0"/>
                <w:color w:val="auto"/>
                <w:sz w:val="20"/>
                <w:szCs w:val="20"/>
                <w:lang w:val="fr-ML"/>
              </w:rPr>
              <w:t>Secteur</w:t>
            </w:r>
          </w:p>
        </w:tc>
        <w:tc>
          <w:tcPr>
            <w:tcW w:w="2227" w:type="pct"/>
            <w:shd w:val="clear" w:color="auto" w:fill="BF8F00" w:themeFill="accent4" w:themeFillShade="BF"/>
          </w:tcPr>
          <w:p w14:paraId="71267D23" w14:textId="77777777" w:rsidR="00C03EC4" w:rsidRPr="002E75D4" w:rsidRDefault="00C03EC4" w:rsidP="000D6136">
            <w:pPr>
              <w:rPr>
                <w:rFonts w:asciiTheme="majorHAnsi" w:hAnsiTheme="majorHAnsi" w:cstheme="majorHAnsi"/>
                <w:bCs w:val="0"/>
                <w:color w:val="auto"/>
                <w:sz w:val="20"/>
                <w:szCs w:val="20"/>
                <w:lang w:val="fr-ML"/>
              </w:rPr>
            </w:pPr>
            <w:r w:rsidRPr="002E75D4">
              <w:rPr>
                <w:rFonts w:asciiTheme="majorHAnsi" w:hAnsiTheme="majorHAnsi" w:cstheme="majorHAnsi"/>
                <w:bCs w:val="0"/>
                <w:color w:val="auto"/>
                <w:sz w:val="20"/>
                <w:szCs w:val="20"/>
                <w:lang w:val="fr-ML"/>
              </w:rPr>
              <w:t>Mesure d'atténuation</w:t>
            </w:r>
          </w:p>
        </w:tc>
        <w:tc>
          <w:tcPr>
            <w:tcW w:w="1857" w:type="pct"/>
            <w:shd w:val="clear" w:color="auto" w:fill="00B050"/>
            <w:vAlign w:val="bottom"/>
          </w:tcPr>
          <w:p w14:paraId="6C9B99E7" w14:textId="77777777" w:rsidR="00C03EC4" w:rsidRPr="002E75D4" w:rsidRDefault="00C03EC4" w:rsidP="000D6136">
            <w:pPr>
              <w:rPr>
                <w:rFonts w:asciiTheme="majorHAnsi" w:hAnsiTheme="majorHAnsi" w:cstheme="majorHAnsi"/>
                <w:bCs w:val="0"/>
                <w:color w:val="auto"/>
                <w:sz w:val="20"/>
                <w:szCs w:val="20"/>
                <w:lang w:val="fr-ML"/>
              </w:rPr>
            </w:pPr>
            <w:r w:rsidRPr="002E75D4">
              <w:rPr>
                <w:rFonts w:asciiTheme="majorHAnsi" w:hAnsiTheme="majorHAnsi" w:cstheme="majorHAnsi"/>
                <w:bCs w:val="0"/>
                <w:color w:val="auto"/>
                <w:sz w:val="20"/>
                <w:szCs w:val="20"/>
                <w:lang w:val="fr-ML"/>
              </w:rPr>
              <w:t>Réduction des émissions de GES (kilotonnes) par rapport au niveau de référence 2030</w:t>
            </w:r>
          </w:p>
        </w:tc>
      </w:tr>
      <w:tr w:rsidR="00C03EC4" w:rsidRPr="002E75D4" w14:paraId="35AD2A72" w14:textId="77777777" w:rsidTr="000D6136">
        <w:trPr>
          <w:cnfStyle w:val="000000100000" w:firstRow="0" w:lastRow="0" w:firstColumn="0" w:lastColumn="0" w:oddVBand="0" w:evenVBand="0" w:oddHBand="1" w:evenHBand="0" w:firstRowFirstColumn="0" w:firstRowLastColumn="0" w:lastRowFirstColumn="0" w:lastRowLastColumn="0"/>
          <w:trHeight w:val="681"/>
        </w:trPr>
        <w:tc>
          <w:tcPr>
            <w:tcW w:w="331" w:type="pct"/>
            <w:shd w:val="clear" w:color="auto" w:fill="FFE1E1"/>
          </w:tcPr>
          <w:p w14:paraId="58E989E8" w14:textId="77777777" w:rsidR="00C03EC4" w:rsidRPr="002E75D4" w:rsidRDefault="00C03EC4" w:rsidP="000D6136">
            <w:pPr>
              <w:rPr>
                <w:rFonts w:asciiTheme="majorHAnsi" w:hAnsiTheme="majorHAnsi" w:cstheme="majorHAnsi"/>
                <w:bCs/>
                <w:sz w:val="20"/>
                <w:szCs w:val="20"/>
                <w:lang w:val="fr-ML"/>
              </w:rPr>
            </w:pPr>
          </w:p>
        </w:tc>
        <w:tc>
          <w:tcPr>
            <w:tcW w:w="585" w:type="pct"/>
          </w:tcPr>
          <w:p w14:paraId="125C6525" w14:textId="77777777" w:rsidR="00C03EC4" w:rsidRPr="002E75D4" w:rsidRDefault="00C03EC4" w:rsidP="000D6136">
            <w:pPr>
              <w:jc w:val="left"/>
              <w:rPr>
                <w:rFonts w:asciiTheme="majorHAnsi" w:hAnsiTheme="majorHAnsi" w:cstheme="majorHAnsi"/>
                <w:sz w:val="20"/>
                <w:szCs w:val="20"/>
                <w:lang w:val="fr-ML"/>
              </w:rPr>
            </w:pPr>
          </w:p>
        </w:tc>
        <w:tc>
          <w:tcPr>
            <w:tcW w:w="2227" w:type="pct"/>
            <w:shd w:val="clear" w:color="auto" w:fill="FFE599" w:themeFill="accent4" w:themeFillTint="66"/>
          </w:tcPr>
          <w:p w14:paraId="7DA10A70" w14:textId="77777777" w:rsidR="00C03EC4" w:rsidRPr="002E75D4" w:rsidRDefault="00C03EC4" w:rsidP="000D6136">
            <w:pPr>
              <w:rPr>
                <w:rFonts w:asciiTheme="majorHAnsi" w:hAnsiTheme="majorHAnsi" w:cstheme="majorHAnsi"/>
                <w:sz w:val="20"/>
                <w:szCs w:val="20"/>
                <w:lang w:val="fr-ML"/>
              </w:rPr>
            </w:pPr>
          </w:p>
        </w:tc>
        <w:tc>
          <w:tcPr>
            <w:tcW w:w="1857" w:type="pct"/>
            <w:shd w:val="clear" w:color="auto" w:fill="C5E0B3" w:themeFill="accent6" w:themeFillTint="66"/>
          </w:tcPr>
          <w:p w14:paraId="261A6E43"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Émissions de GES de référence pour 2030 :</w:t>
            </w:r>
          </w:p>
          <w:p w14:paraId="5F04D8AE" w14:textId="77777777" w:rsidR="00C03EC4" w:rsidRPr="002E75D4" w:rsidRDefault="00C03EC4" w:rsidP="000D6136">
            <w:pPr>
              <w:jc w:val="left"/>
              <w:rPr>
                <w:rFonts w:asciiTheme="majorHAnsi" w:hAnsiTheme="majorHAnsi" w:cstheme="majorHAnsi"/>
                <w:sz w:val="20"/>
                <w:szCs w:val="20"/>
                <w:lang w:val="fr-ML"/>
              </w:rPr>
            </w:pPr>
          </w:p>
          <w:p w14:paraId="57F96AF8"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Y compris la sylviculture : -187 800</w:t>
            </w:r>
          </w:p>
          <w:p w14:paraId="16898B2E"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Hors sylviculture : 42,400</w:t>
            </w:r>
          </w:p>
        </w:tc>
      </w:tr>
      <w:tr w:rsidR="00C03EC4" w:rsidRPr="002E75D4" w14:paraId="4CEAD766" w14:textId="77777777" w:rsidTr="000D6136">
        <w:trPr>
          <w:trHeight w:val="501"/>
        </w:trPr>
        <w:tc>
          <w:tcPr>
            <w:tcW w:w="331" w:type="pct"/>
            <w:shd w:val="clear" w:color="auto" w:fill="FFF3F3"/>
          </w:tcPr>
          <w:p w14:paraId="4F421CDF"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1</w:t>
            </w:r>
          </w:p>
        </w:tc>
        <w:tc>
          <w:tcPr>
            <w:tcW w:w="585" w:type="pct"/>
          </w:tcPr>
          <w:p w14:paraId="365A7F76"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Production d'électricité</w:t>
            </w:r>
          </w:p>
        </w:tc>
        <w:tc>
          <w:tcPr>
            <w:tcW w:w="2227" w:type="pct"/>
            <w:shd w:val="clear" w:color="auto" w:fill="FFF2CC" w:themeFill="accent4" w:themeFillTint="33"/>
          </w:tcPr>
          <w:p w14:paraId="48D8B3A6"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Construire une centrale hydroélectrique de 6,8 MW à Sotuba (Production 82 GWh)</w:t>
            </w:r>
          </w:p>
        </w:tc>
        <w:tc>
          <w:tcPr>
            <w:tcW w:w="1857" w:type="pct"/>
            <w:shd w:val="clear" w:color="auto" w:fill="E2EFD9" w:themeFill="accent6" w:themeFillTint="33"/>
          </w:tcPr>
          <w:p w14:paraId="3C70C2B8"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109 kilotonnes</w:t>
            </w:r>
          </w:p>
        </w:tc>
      </w:tr>
      <w:tr w:rsidR="00C03EC4" w:rsidRPr="002E75D4" w14:paraId="1CB0B81B" w14:textId="77777777" w:rsidTr="000D6136">
        <w:trPr>
          <w:cnfStyle w:val="000000100000" w:firstRow="0" w:lastRow="0" w:firstColumn="0" w:lastColumn="0" w:oddVBand="0" w:evenVBand="0" w:oddHBand="1" w:evenHBand="0" w:firstRowFirstColumn="0" w:firstRowLastColumn="0" w:lastRowFirstColumn="0" w:lastRowLastColumn="0"/>
          <w:trHeight w:val="835"/>
        </w:trPr>
        <w:tc>
          <w:tcPr>
            <w:tcW w:w="331" w:type="pct"/>
            <w:shd w:val="clear" w:color="auto" w:fill="FFE1E1"/>
          </w:tcPr>
          <w:p w14:paraId="685633A0"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2</w:t>
            </w:r>
          </w:p>
        </w:tc>
        <w:tc>
          <w:tcPr>
            <w:tcW w:w="585" w:type="pct"/>
          </w:tcPr>
          <w:p w14:paraId="4E077D95"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Production d'électricité</w:t>
            </w:r>
          </w:p>
        </w:tc>
        <w:tc>
          <w:tcPr>
            <w:tcW w:w="2227" w:type="pct"/>
            <w:shd w:val="clear" w:color="auto" w:fill="FFE599" w:themeFill="accent4" w:themeFillTint="66"/>
          </w:tcPr>
          <w:p w14:paraId="10698BA8"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Construire une centrale hydroélectrique de 63MW à Mali Sénégal Mauritanie Boueina/Kayes (Production 560/620 GWh)</w:t>
            </w:r>
          </w:p>
        </w:tc>
        <w:tc>
          <w:tcPr>
            <w:tcW w:w="1857" w:type="pct"/>
            <w:shd w:val="clear" w:color="auto" w:fill="C5E0B3" w:themeFill="accent6" w:themeFillTint="66"/>
          </w:tcPr>
          <w:p w14:paraId="3C1F6D4B"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807 kilotonnes</w:t>
            </w:r>
          </w:p>
        </w:tc>
      </w:tr>
      <w:tr w:rsidR="00C03EC4" w:rsidRPr="002E75D4" w14:paraId="35F11883" w14:textId="77777777" w:rsidTr="000D6136">
        <w:trPr>
          <w:trHeight w:val="848"/>
        </w:trPr>
        <w:tc>
          <w:tcPr>
            <w:tcW w:w="331" w:type="pct"/>
            <w:shd w:val="clear" w:color="auto" w:fill="FFF3F3"/>
          </w:tcPr>
          <w:p w14:paraId="42939FD4"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3</w:t>
            </w:r>
          </w:p>
        </w:tc>
        <w:tc>
          <w:tcPr>
            <w:tcW w:w="585" w:type="pct"/>
          </w:tcPr>
          <w:p w14:paraId="34674E73"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Production d'électricité</w:t>
            </w:r>
          </w:p>
        </w:tc>
        <w:tc>
          <w:tcPr>
            <w:tcW w:w="2227" w:type="pct"/>
            <w:shd w:val="clear" w:color="auto" w:fill="FFF2CC" w:themeFill="accent4" w:themeFillTint="33"/>
          </w:tcPr>
          <w:p w14:paraId="7A3961B9"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Construire la centrale solaire photovoltaïque Akuo Energy Kita de 60 MW (production de 76,02 GWh)</w:t>
            </w:r>
          </w:p>
        </w:tc>
        <w:tc>
          <w:tcPr>
            <w:tcW w:w="1857" w:type="pct"/>
            <w:shd w:val="clear" w:color="auto" w:fill="E2EFD9" w:themeFill="accent6" w:themeFillTint="33"/>
          </w:tcPr>
          <w:p w14:paraId="0666EF25"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101 kilotonnes</w:t>
            </w:r>
          </w:p>
        </w:tc>
      </w:tr>
      <w:tr w:rsidR="00C03EC4" w:rsidRPr="002E75D4" w14:paraId="00D9893A" w14:textId="77777777" w:rsidTr="000D6136">
        <w:trPr>
          <w:cnfStyle w:val="000000100000" w:firstRow="0" w:lastRow="0" w:firstColumn="0" w:lastColumn="0" w:oddVBand="0" w:evenVBand="0" w:oddHBand="1" w:evenHBand="0" w:firstRowFirstColumn="0" w:firstRowLastColumn="0" w:lastRowFirstColumn="0" w:lastRowLastColumn="0"/>
          <w:trHeight w:val="1248"/>
        </w:trPr>
        <w:tc>
          <w:tcPr>
            <w:tcW w:w="331" w:type="pct"/>
            <w:shd w:val="clear" w:color="auto" w:fill="FFE1E1"/>
          </w:tcPr>
          <w:p w14:paraId="7D462AA9"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4</w:t>
            </w:r>
          </w:p>
        </w:tc>
        <w:tc>
          <w:tcPr>
            <w:tcW w:w="585" w:type="pct"/>
          </w:tcPr>
          <w:p w14:paraId="07DF83C5"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Production d'électricité</w:t>
            </w:r>
          </w:p>
        </w:tc>
        <w:tc>
          <w:tcPr>
            <w:tcW w:w="2227" w:type="pct"/>
            <w:shd w:val="clear" w:color="auto" w:fill="FFE599" w:themeFill="accent4" w:themeFillTint="66"/>
          </w:tcPr>
          <w:p w14:paraId="24CEBF1C"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Installer 1416 MW de capacité d'énergie renouvelable d'ici 2030, soit 58,3% de la capacité installée, et une production de 3558 GWh, soit 37,1 de la production totale d'électricité.</w:t>
            </w:r>
          </w:p>
        </w:tc>
        <w:tc>
          <w:tcPr>
            <w:tcW w:w="1857" w:type="pct"/>
            <w:shd w:val="clear" w:color="auto" w:fill="C5E0B3" w:themeFill="accent6" w:themeFillTint="66"/>
          </w:tcPr>
          <w:p w14:paraId="2A8664E6"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985 kilotonnes</w:t>
            </w:r>
          </w:p>
        </w:tc>
      </w:tr>
      <w:tr w:rsidR="00C03EC4" w:rsidRPr="002E75D4" w14:paraId="2FC02018" w14:textId="77777777" w:rsidTr="000D6136">
        <w:trPr>
          <w:trHeight w:val="1495"/>
        </w:trPr>
        <w:tc>
          <w:tcPr>
            <w:tcW w:w="331" w:type="pct"/>
            <w:shd w:val="clear" w:color="auto" w:fill="FFF3F3"/>
          </w:tcPr>
          <w:p w14:paraId="347215FE"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5</w:t>
            </w:r>
          </w:p>
        </w:tc>
        <w:tc>
          <w:tcPr>
            <w:tcW w:w="585" w:type="pct"/>
          </w:tcPr>
          <w:p w14:paraId="17C2734A"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Cuisine résidentielle</w:t>
            </w:r>
          </w:p>
        </w:tc>
        <w:tc>
          <w:tcPr>
            <w:tcW w:w="2227" w:type="pct"/>
            <w:shd w:val="clear" w:color="auto" w:fill="FFF2CC" w:themeFill="accent4" w:themeFillTint="33"/>
          </w:tcPr>
          <w:p w14:paraId="19CD9DD6"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100 % de la population cuisinant à la biomasse utilise des fourneaux à biomasse à rendement amélioré d'ici à 2030.</w:t>
            </w:r>
          </w:p>
        </w:tc>
        <w:tc>
          <w:tcPr>
            <w:tcW w:w="1857" w:type="pct"/>
            <w:shd w:val="clear" w:color="auto" w:fill="E2EFD9" w:themeFill="accent6" w:themeFillTint="33"/>
          </w:tcPr>
          <w:p w14:paraId="002CE291"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-2,451 kilotonnes (émissions évitées au point de combustion)</w:t>
            </w:r>
          </w:p>
          <w:p w14:paraId="54FC78E7" w14:textId="77777777" w:rsidR="00C03EC4" w:rsidRPr="002E75D4" w:rsidRDefault="00C03EC4" w:rsidP="000D6136">
            <w:pPr>
              <w:jc w:val="left"/>
              <w:rPr>
                <w:rFonts w:asciiTheme="majorHAnsi" w:hAnsiTheme="majorHAnsi" w:cstheme="majorHAnsi"/>
                <w:sz w:val="20"/>
                <w:szCs w:val="20"/>
                <w:lang w:val="fr-ML"/>
              </w:rPr>
            </w:pPr>
          </w:p>
          <w:p w14:paraId="74B71C28"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-13 867 kilotonnes (émissions évitées grâce à la réduction des pertes de bois de chauffage dans les forêts)</w:t>
            </w:r>
          </w:p>
        </w:tc>
      </w:tr>
      <w:tr w:rsidR="00C03EC4" w:rsidRPr="002E75D4" w14:paraId="57554FB4" w14:textId="77777777" w:rsidTr="000D6136">
        <w:trPr>
          <w:cnfStyle w:val="000000100000" w:firstRow="0" w:lastRow="0" w:firstColumn="0" w:lastColumn="0" w:oddVBand="0" w:evenVBand="0" w:oddHBand="1" w:evenHBand="0" w:firstRowFirstColumn="0" w:firstRowLastColumn="0" w:lastRowFirstColumn="0" w:lastRowLastColumn="0"/>
          <w:trHeight w:val="501"/>
        </w:trPr>
        <w:tc>
          <w:tcPr>
            <w:tcW w:w="331" w:type="pct"/>
            <w:shd w:val="clear" w:color="auto" w:fill="FFE1E1"/>
          </w:tcPr>
          <w:p w14:paraId="789C1268"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6</w:t>
            </w:r>
          </w:p>
        </w:tc>
        <w:tc>
          <w:tcPr>
            <w:tcW w:w="585" w:type="pct"/>
          </w:tcPr>
          <w:p w14:paraId="167B09E2"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Transport</w:t>
            </w:r>
          </w:p>
        </w:tc>
        <w:tc>
          <w:tcPr>
            <w:tcW w:w="2227" w:type="pct"/>
            <w:shd w:val="clear" w:color="auto" w:fill="FFE599" w:themeFill="accent4" w:themeFillTint="66"/>
          </w:tcPr>
          <w:p w14:paraId="0936DE60"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11 % de l'essence remplacée par du bioéthanol d'ici à 2030</w:t>
            </w:r>
          </w:p>
        </w:tc>
        <w:tc>
          <w:tcPr>
            <w:tcW w:w="1857" w:type="pct"/>
            <w:shd w:val="clear" w:color="auto" w:fill="C5E0B3" w:themeFill="accent6" w:themeFillTint="66"/>
          </w:tcPr>
          <w:p w14:paraId="18FDAFFE"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396 kilotonnes</w:t>
            </w:r>
          </w:p>
        </w:tc>
      </w:tr>
      <w:tr w:rsidR="00C03EC4" w:rsidRPr="002E75D4" w14:paraId="724C1D70" w14:textId="77777777" w:rsidTr="000D6136">
        <w:trPr>
          <w:trHeight w:val="494"/>
        </w:trPr>
        <w:tc>
          <w:tcPr>
            <w:tcW w:w="331" w:type="pct"/>
            <w:shd w:val="clear" w:color="auto" w:fill="FFF3F3"/>
          </w:tcPr>
          <w:p w14:paraId="7EDFA193"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7</w:t>
            </w:r>
          </w:p>
        </w:tc>
        <w:tc>
          <w:tcPr>
            <w:tcW w:w="585" w:type="pct"/>
          </w:tcPr>
          <w:p w14:paraId="644687E6"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Transport</w:t>
            </w:r>
          </w:p>
        </w:tc>
        <w:tc>
          <w:tcPr>
            <w:tcW w:w="2227" w:type="pct"/>
            <w:shd w:val="clear" w:color="auto" w:fill="FFF2CC" w:themeFill="accent4" w:themeFillTint="33"/>
          </w:tcPr>
          <w:p w14:paraId="00D87A5F"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5,4 % du diesel remplacé par du biodiesel d'ici 2030</w:t>
            </w:r>
          </w:p>
        </w:tc>
        <w:tc>
          <w:tcPr>
            <w:tcW w:w="1857" w:type="pct"/>
            <w:shd w:val="clear" w:color="auto" w:fill="E2EFD9" w:themeFill="accent6" w:themeFillTint="33"/>
          </w:tcPr>
          <w:p w14:paraId="0BDB2CA3"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28 kilotonnes</w:t>
            </w:r>
          </w:p>
        </w:tc>
      </w:tr>
      <w:tr w:rsidR="00C03EC4" w:rsidRPr="002E75D4" w14:paraId="0191B2F1" w14:textId="77777777" w:rsidTr="000D6136">
        <w:trPr>
          <w:cnfStyle w:val="000000100000" w:firstRow="0" w:lastRow="0" w:firstColumn="0" w:lastColumn="0" w:oddVBand="0" w:evenVBand="0" w:oddHBand="1" w:evenHBand="0" w:firstRowFirstColumn="0" w:firstRowLastColumn="0" w:lastRowFirstColumn="0" w:lastRowLastColumn="0"/>
          <w:trHeight w:val="748"/>
        </w:trPr>
        <w:tc>
          <w:tcPr>
            <w:tcW w:w="331" w:type="pct"/>
            <w:shd w:val="clear" w:color="auto" w:fill="FFE1E1"/>
          </w:tcPr>
          <w:p w14:paraId="6D124E2E"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8</w:t>
            </w:r>
          </w:p>
        </w:tc>
        <w:tc>
          <w:tcPr>
            <w:tcW w:w="585" w:type="pct"/>
          </w:tcPr>
          <w:p w14:paraId="724E1FF0"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Production d'électricité</w:t>
            </w:r>
          </w:p>
        </w:tc>
        <w:tc>
          <w:tcPr>
            <w:tcW w:w="2227" w:type="pct"/>
            <w:shd w:val="clear" w:color="auto" w:fill="FFE599" w:themeFill="accent4" w:themeFillTint="66"/>
          </w:tcPr>
          <w:p w14:paraId="3A2C2350"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Réduire les pertes de transmission et de distribution d'électricité du réseau à 10% en 2030</w:t>
            </w:r>
          </w:p>
        </w:tc>
        <w:tc>
          <w:tcPr>
            <w:tcW w:w="1857" w:type="pct"/>
            <w:shd w:val="clear" w:color="auto" w:fill="C5E0B3" w:themeFill="accent6" w:themeFillTint="66"/>
          </w:tcPr>
          <w:p w14:paraId="4A5387E8"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118 kilotonnes</w:t>
            </w:r>
          </w:p>
        </w:tc>
      </w:tr>
      <w:tr w:rsidR="00C03EC4" w:rsidRPr="002E75D4" w14:paraId="0FE3D0B9" w14:textId="77777777" w:rsidTr="000D6136">
        <w:trPr>
          <w:trHeight w:val="501"/>
        </w:trPr>
        <w:tc>
          <w:tcPr>
            <w:tcW w:w="331" w:type="pct"/>
            <w:shd w:val="clear" w:color="auto" w:fill="FFF3F3"/>
          </w:tcPr>
          <w:p w14:paraId="4D8A6AFE"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9</w:t>
            </w:r>
          </w:p>
        </w:tc>
        <w:tc>
          <w:tcPr>
            <w:tcW w:w="585" w:type="pct"/>
          </w:tcPr>
          <w:p w14:paraId="523768E4"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Industrie</w:t>
            </w:r>
          </w:p>
        </w:tc>
        <w:tc>
          <w:tcPr>
            <w:tcW w:w="2227" w:type="pct"/>
            <w:shd w:val="clear" w:color="auto" w:fill="FFF2CC" w:themeFill="accent4" w:themeFillTint="33"/>
          </w:tcPr>
          <w:p w14:paraId="32BFD73C"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Augmenter l'efficacité énergétique dans l'industrie de 21% en 2030</w:t>
            </w:r>
          </w:p>
        </w:tc>
        <w:tc>
          <w:tcPr>
            <w:tcW w:w="1857" w:type="pct"/>
            <w:shd w:val="clear" w:color="auto" w:fill="E2EFD9" w:themeFill="accent6" w:themeFillTint="33"/>
          </w:tcPr>
          <w:p w14:paraId="04B0DB90"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662 kilotonnes</w:t>
            </w:r>
          </w:p>
        </w:tc>
      </w:tr>
      <w:tr w:rsidR="00C03EC4" w:rsidRPr="002E75D4" w14:paraId="43F6FA97" w14:textId="77777777" w:rsidTr="000D6136">
        <w:trPr>
          <w:cnfStyle w:val="000000100000" w:firstRow="0" w:lastRow="0" w:firstColumn="0" w:lastColumn="0" w:oddVBand="0" w:evenVBand="0" w:oddHBand="1" w:evenHBand="0" w:firstRowFirstColumn="0" w:firstRowLastColumn="0" w:lastRowFirstColumn="0" w:lastRowLastColumn="0"/>
          <w:trHeight w:val="748"/>
        </w:trPr>
        <w:tc>
          <w:tcPr>
            <w:tcW w:w="331" w:type="pct"/>
            <w:shd w:val="clear" w:color="auto" w:fill="FFE1E1"/>
          </w:tcPr>
          <w:p w14:paraId="31CAFF88"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10</w:t>
            </w:r>
          </w:p>
        </w:tc>
        <w:tc>
          <w:tcPr>
            <w:tcW w:w="585" w:type="pct"/>
          </w:tcPr>
          <w:p w14:paraId="53B9D255" w14:textId="77777777" w:rsidR="00C03EC4" w:rsidRPr="002E75D4" w:rsidRDefault="00C03EC4" w:rsidP="000D6136">
            <w:pPr>
              <w:rPr>
                <w:rFonts w:asciiTheme="majorHAnsi" w:hAnsiTheme="majorHAnsi" w:cstheme="majorHAnsi"/>
                <w:sz w:val="20"/>
                <w:szCs w:val="20"/>
                <w:lang w:val="fr-ML"/>
              </w:rPr>
            </w:pPr>
            <w:r w:rsidRPr="002E75D4">
              <w:rPr>
                <w:rFonts w:asciiTheme="majorHAnsi" w:hAnsiTheme="majorHAnsi" w:cstheme="majorHAnsi"/>
                <w:sz w:val="20"/>
                <w:szCs w:val="20"/>
                <w:lang w:val="fr-ML"/>
              </w:rPr>
              <w:t>Bétail</w:t>
            </w:r>
          </w:p>
        </w:tc>
        <w:tc>
          <w:tcPr>
            <w:tcW w:w="2227" w:type="pct"/>
            <w:shd w:val="clear" w:color="auto" w:fill="FFE599" w:themeFill="accent4" w:themeFillTint="66"/>
          </w:tcPr>
          <w:p w14:paraId="1AC6DD20"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Améliorer la productivité du bétail par l'insémination artificielle et la santé/alimentation animale</w:t>
            </w:r>
          </w:p>
        </w:tc>
        <w:tc>
          <w:tcPr>
            <w:tcW w:w="1857" w:type="pct"/>
            <w:shd w:val="clear" w:color="auto" w:fill="C5E0B3" w:themeFill="accent6" w:themeFillTint="66"/>
          </w:tcPr>
          <w:p w14:paraId="5A1DCAB9"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-5,152 kilotonnes</w:t>
            </w:r>
          </w:p>
        </w:tc>
      </w:tr>
      <w:tr w:rsidR="00C03EC4" w:rsidRPr="002E75D4" w14:paraId="1AF241F4" w14:textId="77777777" w:rsidTr="000D6136">
        <w:trPr>
          <w:trHeight w:val="501"/>
        </w:trPr>
        <w:tc>
          <w:tcPr>
            <w:tcW w:w="331" w:type="pct"/>
            <w:shd w:val="clear" w:color="auto" w:fill="FFF3F3"/>
          </w:tcPr>
          <w:p w14:paraId="74F85575"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11</w:t>
            </w:r>
          </w:p>
        </w:tc>
        <w:tc>
          <w:tcPr>
            <w:tcW w:w="585" w:type="pct"/>
          </w:tcPr>
          <w:p w14:paraId="75F36B34" w14:textId="77777777" w:rsidR="00C03EC4" w:rsidRPr="002E75D4" w:rsidRDefault="00C03EC4" w:rsidP="000D6136">
            <w:pPr>
              <w:rPr>
                <w:rFonts w:asciiTheme="majorHAnsi" w:hAnsiTheme="majorHAnsi" w:cstheme="majorHAnsi"/>
                <w:sz w:val="20"/>
                <w:szCs w:val="20"/>
                <w:lang w:val="fr-ML"/>
              </w:rPr>
            </w:pPr>
            <w:r w:rsidRPr="002E75D4">
              <w:rPr>
                <w:rFonts w:asciiTheme="majorHAnsi" w:hAnsiTheme="majorHAnsi" w:cstheme="majorHAnsi"/>
                <w:sz w:val="20"/>
                <w:szCs w:val="20"/>
                <w:lang w:val="fr-ML"/>
              </w:rPr>
              <w:t>Production de riz</w:t>
            </w:r>
          </w:p>
        </w:tc>
        <w:tc>
          <w:tcPr>
            <w:tcW w:w="2227" w:type="pct"/>
            <w:shd w:val="clear" w:color="auto" w:fill="FFF2CC" w:themeFill="accent4" w:themeFillTint="33"/>
          </w:tcPr>
          <w:p w14:paraId="166493EB"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Promouvoir l'aération intermittente des rizières irriguées</w:t>
            </w:r>
          </w:p>
        </w:tc>
        <w:tc>
          <w:tcPr>
            <w:tcW w:w="1857" w:type="pct"/>
            <w:shd w:val="clear" w:color="auto" w:fill="E2EFD9" w:themeFill="accent6" w:themeFillTint="33"/>
          </w:tcPr>
          <w:p w14:paraId="2B8B52BF"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839 kilotonnes</w:t>
            </w:r>
          </w:p>
        </w:tc>
      </w:tr>
      <w:tr w:rsidR="00C03EC4" w:rsidRPr="002E75D4" w14:paraId="55A4584A" w14:textId="77777777" w:rsidTr="000D6136">
        <w:trPr>
          <w:cnfStyle w:val="000000100000" w:firstRow="0" w:lastRow="0" w:firstColumn="0" w:lastColumn="0" w:oddVBand="0" w:evenVBand="0" w:oddHBand="1" w:evenHBand="0" w:firstRowFirstColumn="0" w:firstRowLastColumn="0" w:lastRowFirstColumn="0" w:lastRowLastColumn="0"/>
          <w:trHeight w:val="501"/>
        </w:trPr>
        <w:tc>
          <w:tcPr>
            <w:tcW w:w="331" w:type="pct"/>
            <w:shd w:val="clear" w:color="auto" w:fill="FFE1E1"/>
          </w:tcPr>
          <w:p w14:paraId="5AD8FBF0"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12</w:t>
            </w:r>
          </w:p>
        </w:tc>
        <w:tc>
          <w:tcPr>
            <w:tcW w:w="585" w:type="pct"/>
          </w:tcPr>
          <w:p w14:paraId="51461F45" w14:textId="77777777" w:rsidR="00C03EC4" w:rsidRPr="002E75D4" w:rsidRDefault="00C03EC4" w:rsidP="000D6136">
            <w:pPr>
              <w:rPr>
                <w:rFonts w:asciiTheme="majorHAnsi" w:hAnsiTheme="majorHAnsi" w:cstheme="majorHAnsi"/>
                <w:sz w:val="20"/>
                <w:szCs w:val="20"/>
                <w:lang w:val="fr-ML"/>
              </w:rPr>
            </w:pPr>
            <w:r w:rsidRPr="002E75D4">
              <w:rPr>
                <w:rFonts w:asciiTheme="majorHAnsi" w:hAnsiTheme="majorHAnsi" w:cstheme="majorHAnsi"/>
                <w:sz w:val="20"/>
                <w:szCs w:val="20"/>
                <w:lang w:val="fr-ML"/>
              </w:rPr>
              <w:t>Résidus agricoles</w:t>
            </w:r>
          </w:p>
        </w:tc>
        <w:tc>
          <w:tcPr>
            <w:tcW w:w="2227" w:type="pct"/>
            <w:shd w:val="clear" w:color="auto" w:fill="FFE599" w:themeFill="accent4" w:themeFillTint="66"/>
          </w:tcPr>
          <w:p w14:paraId="0A2A884A"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Augmenter l'utilisation des résidus agricoles comme briquettes pour le combustible</w:t>
            </w:r>
          </w:p>
        </w:tc>
        <w:tc>
          <w:tcPr>
            <w:tcW w:w="1857" w:type="pct"/>
            <w:shd w:val="clear" w:color="auto" w:fill="C5E0B3" w:themeFill="accent6" w:themeFillTint="66"/>
          </w:tcPr>
          <w:p w14:paraId="1CBB39C7"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93,4 kilotonnes</w:t>
            </w:r>
          </w:p>
        </w:tc>
      </w:tr>
      <w:tr w:rsidR="00C03EC4" w:rsidRPr="002E75D4" w14:paraId="25D80286" w14:textId="77777777" w:rsidTr="000D6136">
        <w:trPr>
          <w:trHeight w:val="820"/>
        </w:trPr>
        <w:tc>
          <w:tcPr>
            <w:tcW w:w="331" w:type="pct"/>
            <w:shd w:val="clear" w:color="auto" w:fill="FFF3F3"/>
          </w:tcPr>
          <w:p w14:paraId="1CDBF649"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13</w:t>
            </w:r>
          </w:p>
        </w:tc>
        <w:tc>
          <w:tcPr>
            <w:tcW w:w="585" w:type="pct"/>
          </w:tcPr>
          <w:p w14:paraId="3D841B79" w14:textId="77777777" w:rsidR="00C03EC4" w:rsidRPr="002E75D4" w:rsidRDefault="00C03EC4" w:rsidP="000D6136">
            <w:pPr>
              <w:rPr>
                <w:rFonts w:asciiTheme="majorHAnsi" w:hAnsiTheme="majorHAnsi" w:cstheme="majorHAnsi"/>
                <w:sz w:val="20"/>
                <w:szCs w:val="20"/>
                <w:lang w:val="fr-ML"/>
              </w:rPr>
            </w:pPr>
            <w:r w:rsidRPr="002E75D4">
              <w:rPr>
                <w:rFonts w:asciiTheme="majorHAnsi" w:hAnsiTheme="majorHAnsi" w:cstheme="majorHAnsi"/>
                <w:sz w:val="20"/>
                <w:szCs w:val="20"/>
                <w:lang w:val="fr-ML"/>
              </w:rPr>
              <w:t>Production végétale</w:t>
            </w:r>
          </w:p>
        </w:tc>
        <w:tc>
          <w:tcPr>
            <w:tcW w:w="2227" w:type="pct"/>
            <w:shd w:val="clear" w:color="auto" w:fill="FFF2CC" w:themeFill="accent4" w:themeFillTint="33"/>
          </w:tcPr>
          <w:p w14:paraId="101EB957"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Remplacement de 20 % des engrais à base d'urée par des engrais organiques d'ici à 2030 (objectif fondé sur l'avis d'experts).</w:t>
            </w:r>
          </w:p>
        </w:tc>
        <w:tc>
          <w:tcPr>
            <w:tcW w:w="1857" w:type="pct"/>
            <w:shd w:val="clear" w:color="auto" w:fill="E2EFD9" w:themeFill="accent6" w:themeFillTint="33"/>
          </w:tcPr>
          <w:p w14:paraId="05B903EB"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-118,1 kilotonnes</w:t>
            </w:r>
          </w:p>
        </w:tc>
      </w:tr>
      <w:tr w:rsidR="00C03EC4" w:rsidRPr="002E75D4" w14:paraId="4A5434D7" w14:textId="77777777" w:rsidTr="000D6136">
        <w:trPr>
          <w:cnfStyle w:val="000000100000" w:firstRow="0" w:lastRow="0" w:firstColumn="0" w:lastColumn="0" w:oddVBand="0" w:evenVBand="0" w:oddHBand="1" w:evenHBand="0" w:firstRowFirstColumn="0" w:firstRowLastColumn="0" w:lastRowFirstColumn="0" w:lastRowLastColumn="0"/>
          <w:trHeight w:val="501"/>
        </w:trPr>
        <w:tc>
          <w:tcPr>
            <w:tcW w:w="331" w:type="pct"/>
            <w:shd w:val="clear" w:color="auto" w:fill="FFE1E1"/>
          </w:tcPr>
          <w:p w14:paraId="6AE59256"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14</w:t>
            </w:r>
          </w:p>
        </w:tc>
        <w:tc>
          <w:tcPr>
            <w:tcW w:w="585" w:type="pct"/>
          </w:tcPr>
          <w:p w14:paraId="042BEE46" w14:textId="77777777" w:rsidR="00C03EC4" w:rsidRPr="002E75D4" w:rsidRDefault="00C03EC4" w:rsidP="000D6136">
            <w:pPr>
              <w:rPr>
                <w:rFonts w:asciiTheme="majorHAnsi" w:hAnsiTheme="majorHAnsi" w:cstheme="majorHAnsi"/>
                <w:sz w:val="20"/>
                <w:szCs w:val="20"/>
                <w:lang w:val="fr-ML"/>
              </w:rPr>
            </w:pPr>
            <w:r w:rsidRPr="002E75D4">
              <w:rPr>
                <w:rFonts w:asciiTheme="majorHAnsi" w:hAnsiTheme="majorHAnsi" w:cstheme="majorHAnsi"/>
                <w:sz w:val="20"/>
                <w:szCs w:val="20"/>
                <w:lang w:val="fr-ML"/>
              </w:rPr>
              <w:t>FOLU</w:t>
            </w:r>
          </w:p>
        </w:tc>
        <w:tc>
          <w:tcPr>
            <w:tcW w:w="2227" w:type="pct"/>
            <w:shd w:val="clear" w:color="auto" w:fill="FFE599" w:themeFill="accent4" w:themeFillTint="66"/>
          </w:tcPr>
          <w:p w14:paraId="24609ED1"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Reforester 76 000 hectares de terres par an</w:t>
            </w:r>
          </w:p>
        </w:tc>
        <w:tc>
          <w:tcPr>
            <w:tcW w:w="1857" w:type="pct"/>
            <w:shd w:val="clear" w:color="auto" w:fill="C5E0B3" w:themeFill="accent6" w:themeFillTint="66"/>
          </w:tcPr>
          <w:p w14:paraId="29B971EC"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12 377 kilotonnes (émissions évitées grâce au renforcement du puits de carbone)</w:t>
            </w:r>
          </w:p>
        </w:tc>
      </w:tr>
      <w:tr w:rsidR="00C03EC4" w:rsidRPr="002E75D4" w14:paraId="1AC8427C" w14:textId="77777777" w:rsidTr="000D6136">
        <w:trPr>
          <w:trHeight w:val="1248"/>
        </w:trPr>
        <w:tc>
          <w:tcPr>
            <w:tcW w:w="331" w:type="pct"/>
            <w:shd w:val="clear" w:color="auto" w:fill="FFF3F3"/>
          </w:tcPr>
          <w:p w14:paraId="1B7BE83C" w14:textId="77777777" w:rsidR="00C03EC4" w:rsidRPr="002E75D4" w:rsidRDefault="00C03EC4" w:rsidP="000D6136">
            <w:pPr>
              <w:rPr>
                <w:rFonts w:asciiTheme="majorHAnsi" w:hAnsiTheme="majorHAnsi" w:cstheme="majorHAnsi"/>
                <w:bCs/>
                <w:sz w:val="20"/>
                <w:szCs w:val="20"/>
                <w:lang w:val="fr-ML"/>
              </w:rPr>
            </w:pPr>
            <w:r w:rsidRPr="002E75D4">
              <w:rPr>
                <w:rFonts w:asciiTheme="majorHAnsi" w:hAnsiTheme="majorHAnsi" w:cstheme="majorHAnsi"/>
                <w:bCs/>
                <w:sz w:val="20"/>
                <w:szCs w:val="20"/>
                <w:lang w:val="fr-ML"/>
              </w:rPr>
              <w:t>15</w:t>
            </w:r>
          </w:p>
        </w:tc>
        <w:tc>
          <w:tcPr>
            <w:tcW w:w="585" w:type="pct"/>
          </w:tcPr>
          <w:p w14:paraId="7B890E40" w14:textId="77777777" w:rsidR="00C03EC4" w:rsidRPr="002E75D4" w:rsidRDefault="00C03EC4" w:rsidP="000D6136">
            <w:pPr>
              <w:rPr>
                <w:rFonts w:asciiTheme="majorHAnsi" w:hAnsiTheme="majorHAnsi" w:cstheme="majorHAnsi"/>
                <w:sz w:val="20"/>
                <w:szCs w:val="20"/>
                <w:lang w:val="fr-ML"/>
              </w:rPr>
            </w:pPr>
            <w:r w:rsidRPr="002E75D4">
              <w:rPr>
                <w:rFonts w:asciiTheme="majorHAnsi" w:hAnsiTheme="majorHAnsi" w:cstheme="majorHAnsi"/>
                <w:sz w:val="20"/>
                <w:szCs w:val="20"/>
                <w:lang w:val="fr-ML"/>
              </w:rPr>
              <w:t>Déchets</w:t>
            </w:r>
          </w:p>
        </w:tc>
        <w:tc>
          <w:tcPr>
            <w:tcW w:w="2227" w:type="pct"/>
            <w:shd w:val="clear" w:color="auto" w:fill="FFF2CC" w:themeFill="accent4" w:themeFillTint="33"/>
          </w:tcPr>
          <w:p w14:paraId="53F49FE4"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Mise en place d'une décharge contrôlée suivant les meilleures pratiques en matière de tri des déchets : 22 % des déchets sont détournés vers le recyclage et le compostage d'ici 2030 (objectif basé sur l'avis d'experts).</w:t>
            </w:r>
          </w:p>
        </w:tc>
        <w:tc>
          <w:tcPr>
            <w:tcW w:w="1857" w:type="pct"/>
            <w:shd w:val="clear" w:color="auto" w:fill="E2EFD9" w:themeFill="accent6" w:themeFillTint="33"/>
          </w:tcPr>
          <w:p w14:paraId="6AA6C45E"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53,2 kilotonnes</w:t>
            </w:r>
          </w:p>
        </w:tc>
      </w:tr>
      <w:tr w:rsidR="00C03EC4" w:rsidRPr="002E75D4" w14:paraId="709D714C" w14:textId="77777777" w:rsidTr="000D6136">
        <w:trPr>
          <w:cnfStyle w:val="000000100000" w:firstRow="0" w:lastRow="0" w:firstColumn="0" w:lastColumn="0" w:oddVBand="0" w:evenVBand="0" w:oddHBand="1" w:evenHBand="0" w:firstRowFirstColumn="0" w:firstRowLastColumn="0" w:lastRowFirstColumn="0" w:lastRowLastColumn="0"/>
          <w:trHeight w:val="62"/>
        </w:trPr>
        <w:tc>
          <w:tcPr>
            <w:tcW w:w="331" w:type="pct"/>
            <w:shd w:val="clear" w:color="auto" w:fill="FFE1E1"/>
          </w:tcPr>
          <w:p w14:paraId="0FAB5DF3" w14:textId="77777777" w:rsidR="00C03EC4" w:rsidRPr="002E75D4" w:rsidRDefault="00C03EC4" w:rsidP="000D6136">
            <w:pPr>
              <w:rPr>
                <w:rFonts w:asciiTheme="majorHAnsi" w:hAnsiTheme="majorHAnsi" w:cstheme="majorHAnsi"/>
                <w:bCs/>
                <w:sz w:val="20"/>
                <w:szCs w:val="20"/>
                <w:lang w:val="fr-ML"/>
              </w:rPr>
            </w:pPr>
          </w:p>
        </w:tc>
        <w:tc>
          <w:tcPr>
            <w:tcW w:w="585" w:type="pct"/>
          </w:tcPr>
          <w:p w14:paraId="3C3FF105" w14:textId="77777777" w:rsidR="00C03EC4" w:rsidRPr="002E75D4" w:rsidRDefault="00C03EC4" w:rsidP="000D6136">
            <w:pPr>
              <w:rPr>
                <w:rFonts w:asciiTheme="majorHAnsi" w:hAnsiTheme="majorHAnsi" w:cstheme="majorHAnsi"/>
                <w:sz w:val="20"/>
                <w:szCs w:val="20"/>
                <w:lang w:val="fr-ML"/>
              </w:rPr>
            </w:pPr>
          </w:p>
        </w:tc>
        <w:tc>
          <w:tcPr>
            <w:tcW w:w="2227" w:type="pct"/>
            <w:shd w:val="clear" w:color="auto" w:fill="FFE599" w:themeFill="accent4" w:themeFillTint="66"/>
          </w:tcPr>
          <w:p w14:paraId="7C0E1A10" w14:textId="77777777" w:rsidR="00C03EC4" w:rsidRPr="002E75D4" w:rsidRDefault="00C03EC4" w:rsidP="000D6136">
            <w:pPr>
              <w:rPr>
                <w:rFonts w:asciiTheme="majorHAnsi" w:hAnsiTheme="majorHAnsi" w:cstheme="majorHAnsi"/>
                <w:sz w:val="20"/>
                <w:szCs w:val="20"/>
                <w:lang w:val="fr-ML"/>
              </w:rPr>
            </w:pPr>
          </w:p>
        </w:tc>
        <w:tc>
          <w:tcPr>
            <w:tcW w:w="1857" w:type="pct"/>
            <w:shd w:val="clear" w:color="auto" w:fill="C5E0B3" w:themeFill="accent6" w:themeFillTint="66"/>
          </w:tcPr>
          <w:p w14:paraId="440AE26E" w14:textId="77777777" w:rsidR="00C03EC4" w:rsidRPr="002E75D4" w:rsidRDefault="00C03EC4" w:rsidP="000D6136">
            <w:pPr>
              <w:jc w:val="left"/>
              <w:rPr>
                <w:rFonts w:asciiTheme="majorHAnsi" w:hAnsiTheme="majorHAnsi" w:cstheme="majorHAnsi"/>
                <w:sz w:val="20"/>
                <w:szCs w:val="20"/>
                <w:lang w:val="fr-ML"/>
              </w:rPr>
            </w:pPr>
            <w:r w:rsidRPr="002E75D4">
              <w:rPr>
                <w:rFonts w:asciiTheme="majorHAnsi" w:hAnsiTheme="majorHAnsi" w:cstheme="majorHAnsi"/>
                <w:sz w:val="20"/>
                <w:szCs w:val="20"/>
                <w:lang w:val="fr-ML"/>
              </w:rPr>
              <w:t>Toutes les mesures mises en œuvre : -40,939 kilotonnes</w:t>
            </w:r>
          </w:p>
        </w:tc>
      </w:tr>
    </w:tbl>
    <w:p w14:paraId="63105A8E" w14:textId="77777777" w:rsidR="00C03EC4" w:rsidRPr="002E75D4" w:rsidRDefault="00C03EC4" w:rsidP="00C03EC4">
      <w:pPr>
        <w:jc w:val="both"/>
        <w:rPr>
          <w:rFonts w:asciiTheme="majorHAnsi" w:hAnsiTheme="majorHAnsi" w:cstheme="majorHAnsi"/>
          <w:sz w:val="18"/>
          <w:szCs w:val="18"/>
        </w:rPr>
      </w:pPr>
    </w:p>
    <w:p w14:paraId="056EF3CC" w14:textId="77777777" w:rsidR="00C03EC4" w:rsidRPr="002E75D4" w:rsidRDefault="00C03EC4" w:rsidP="00C03EC4">
      <w:pPr>
        <w:jc w:val="both"/>
        <w:rPr>
          <w:rFonts w:asciiTheme="majorHAnsi" w:hAnsiTheme="majorHAnsi" w:cstheme="majorHAnsi"/>
          <w:sz w:val="18"/>
          <w:szCs w:val="18"/>
        </w:rPr>
      </w:pPr>
    </w:p>
    <w:p w14:paraId="0C8B9667" w14:textId="77777777" w:rsidR="00C03EC4" w:rsidRPr="002E75D4" w:rsidRDefault="00C03EC4" w:rsidP="00C03EC4">
      <w:pPr>
        <w:jc w:val="both"/>
        <w:rPr>
          <w:rFonts w:asciiTheme="majorHAnsi" w:hAnsiTheme="majorHAnsi" w:cstheme="majorHAnsi"/>
          <w:sz w:val="18"/>
          <w:szCs w:val="18"/>
        </w:rPr>
      </w:pPr>
    </w:p>
    <w:p w14:paraId="6215B738" w14:textId="77777777" w:rsidR="00C03EC4" w:rsidRPr="002E75D4" w:rsidRDefault="00C03EC4" w:rsidP="00C03EC4">
      <w:pPr>
        <w:jc w:val="both"/>
        <w:rPr>
          <w:rFonts w:asciiTheme="majorHAnsi" w:hAnsiTheme="majorHAnsi" w:cstheme="majorHAnsi"/>
          <w:sz w:val="18"/>
          <w:szCs w:val="18"/>
        </w:rPr>
      </w:pPr>
    </w:p>
    <w:p w14:paraId="7622DC52" w14:textId="77777777" w:rsidR="00C03EC4" w:rsidRPr="002E75D4" w:rsidRDefault="00C03EC4" w:rsidP="00C03EC4">
      <w:pPr>
        <w:jc w:val="both"/>
        <w:rPr>
          <w:rFonts w:asciiTheme="majorHAnsi" w:hAnsiTheme="majorHAnsi" w:cstheme="majorHAnsi"/>
          <w:sz w:val="18"/>
          <w:szCs w:val="18"/>
        </w:rPr>
      </w:pPr>
    </w:p>
    <w:p w14:paraId="326B3518" w14:textId="77777777" w:rsidR="00C03EC4" w:rsidRPr="002E75D4" w:rsidRDefault="00C03EC4" w:rsidP="00C03EC4">
      <w:pPr>
        <w:jc w:val="both"/>
        <w:rPr>
          <w:rFonts w:asciiTheme="majorHAnsi" w:hAnsiTheme="majorHAnsi" w:cstheme="majorHAnsi"/>
          <w:sz w:val="18"/>
          <w:szCs w:val="18"/>
        </w:rPr>
      </w:pPr>
    </w:p>
    <w:p w14:paraId="55E0A492" w14:textId="77777777" w:rsidR="00C03EC4" w:rsidRPr="002E75D4" w:rsidRDefault="00C03EC4" w:rsidP="00C03EC4">
      <w:pPr>
        <w:jc w:val="both"/>
        <w:rPr>
          <w:rFonts w:asciiTheme="majorHAnsi" w:hAnsiTheme="majorHAnsi" w:cstheme="majorHAnsi"/>
          <w:sz w:val="18"/>
          <w:szCs w:val="18"/>
        </w:rPr>
      </w:pPr>
    </w:p>
    <w:p w14:paraId="2616607D" w14:textId="77777777" w:rsidR="00C03EC4" w:rsidRPr="002E75D4" w:rsidRDefault="00C03EC4" w:rsidP="00C03EC4">
      <w:pPr>
        <w:jc w:val="both"/>
        <w:rPr>
          <w:rFonts w:asciiTheme="majorHAnsi" w:hAnsiTheme="majorHAnsi" w:cstheme="majorHAnsi"/>
          <w:sz w:val="18"/>
          <w:szCs w:val="18"/>
        </w:rPr>
      </w:pPr>
    </w:p>
    <w:p w14:paraId="43806105" w14:textId="77777777" w:rsidR="00C03EC4" w:rsidRPr="002E75D4" w:rsidRDefault="00C03EC4" w:rsidP="00C03EC4">
      <w:pPr>
        <w:jc w:val="both"/>
        <w:rPr>
          <w:rFonts w:asciiTheme="majorHAnsi" w:hAnsiTheme="majorHAnsi" w:cstheme="majorHAnsi"/>
          <w:sz w:val="18"/>
          <w:szCs w:val="18"/>
        </w:rPr>
      </w:pPr>
    </w:p>
    <w:p w14:paraId="2F16CCD7" w14:textId="77777777" w:rsidR="00C03EC4" w:rsidRPr="002E75D4" w:rsidRDefault="00C03EC4" w:rsidP="00C03EC4">
      <w:pPr>
        <w:jc w:val="both"/>
        <w:rPr>
          <w:rFonts w:asciiTheme="majorHAnsi" w:hAnsiTheme="majorHAnsi" w:cstheme="majorHAnsi"/>
          <w:sz w:val="18"/>
          <w:szCs w:val="18"/>
        </w:rPr>
      </w:pPr>
    </w:p>
    <w:p w14:paraId="18BD2DA6" w14:textId="77777777" w:rsidR="00C03EC4" w:rsidRPr="002E75D4" w:rsidRDefault="00C03EC4" w:rsidP="00C03EC4">
      <w:pPr>
        <w:jc w:val="both"/>
        <w:rPr>
          <w:rFonts w:asciiTheme="majorHAnsi" w:hAnsiTheme="majorHAnsi" w:cstheme="majorHAnsi"/>
          <w:sz w:val="18"/>
          <w:szCs w:val="18"/>
        </w:rPr>
      </w:pPr>
    </w:p>
    <w:p w14:paraId="2C8CEF1B" w14:textId="77777777" w:rsidR="00C03EC4" w:rsidRPr="002E75D4" w:rsidRDefault="00C03EC4" w:rsidP="00C03EC4">
      <w:pPr>
        <w:jc w:val="both"/>
        <w:rPr>
          <w:rFonts w:asciiTheme="majorHAnsi" w:hAnsiTheme="majorHAnsi" w:cstheme="majorHAnsi"/>
          <w:sz w:val="18"/>
          <w:szCs w:val="18"/>
        </w:rPr>
      </w:pPr>
    </w:p>
    <w:p w14:paraId="35BDA252" w14:textId="77777777" w:rsidR="00C03EC4" w:rsidRPr="002E75D4" w:rsidRDefault="00C03EC4" w:rsidP="00C03EC4">
      <w:pPr>
        <w:jc w:val="both"/>
        <w:rPr>
          <w:rFonts w:asciiTheme="majorHAnsi" w:hAnsiTheme="majorHAnsi" w:cstheme="majorHAnsi"/>
          <w:sz w:val="18"/>
          <w:szCs w:val="18"/>
        </w:rPr>
      </w:pPr>
    </w:p>
    <w:p w14:paraId="4708F084" w14:textId="77777777" w:rsidR="00C03EC4" w:rsidRPr="002E75D4" w:rsidRDefault="00C03EC4" w:rsidP="00C03EC4">
      <w:pPr>
        <w:jc w:val="both"/>
        <w:rPr>
          <w:rFonts w:asciiTheme="majorHAnsi" w:hAnsiTheme="majorHAnsi" w:cstheme="majorHAnsi"/>
          <w:sz w:val="18"/>
          <w:szCs w:val="18"/>
        </w:rPr>
      </w:pPr>
    </w:p>
    <w:p w14:paraId="3CFFD1CB" w14:textId="77777777" w:rsidR="00C03EC4" w:rsidRPr="002E75D4" w:rsidRDefault="00C03EC4" w:rsidP="00C03EC4">
      <w:pPr>
        <w:jc w:val="both"/>
        <w:rPr>
          <w:rFonts w:asciiTheme="majorHAnsi" w:hAnsiTheme="majorHAnsi" w:cstheme="majorHAnsi"/>
          <w:sz w:val="18"/>
          <w:szCs w:val="18"/>
        </w:rPr>
      </w:pPr>
    </w:p>
    <w:p w14:paraId="3D202A6B" w14:textId="77777777" w:rsidR="00C03EC4" w:rsidRPr="002E75D4" w:rsidRDefault="00C03EC4" w:rsidP="00C03EC4">
      <w:pPr>
        <w:jc w:val="both"/>
        <w:rPr>
          <w:rFonts w:asciiTheme="majorHAnsi" w:hAnsiTheme="majorHAnsi" w:cstheme="majorHAnsi"/>
        </w:rPr>
      </w:pPr>
    </w:p>
    <w:p w14:paraId="16082443" w14:textId="77777777" w:rsidR="00C03EC4" w:rsidRPr="002E75D4" w:rsidRDefault="00C03EC4" w:rsidP="00C03EC4">
      <w:pPr>
        <w:jc w:val="both"/>
        <w:rPr>
          <w:rFonts w:asciiTheme="majorHAnsi" w:hAnsiTheme="majorHAnsi" w:cstheme="majorHAnsi"/>
        </w:rPr>
      </w:pPr>
    </w:p>
    <w:p w14:paraId="5163EC90" w14:textId="77777777" w:rsidR="00C03EC4" w:rsidRDefault="00C03EC4" w:rsidP="00C03EC4">
      <w:pPr>
        <w:spacing w:after="0"/>
        <w:jc w:val="both"/>
        <w:rPr>
          <w:rFonts w:asciiTheme="majorHAnsi" w:hAnsiTheme="majorHAnsi" w:cstheme="majorHAnsi"/>
        </w:rPr>
      </w:pPr>
    </w:p>
    <w:p w14:paraId="0177426F" w14:textId="77777777" w:rsidR="00C03EC4" w:rsidRDefault="00C03EC4" w:rsidP="00C03EC4">
      <w:pPr>
        <w:spacing w:after="0"/>
        <w:jc w:val="both"/>
        <w:rPr>
          <w:rFonts w:asciiTheme="majorHAnsi" w:hAnsiTheme="majorHAnsi" w:cstheme="majorHAnsi"/>
        </w:rPr>
      </w:pPr>
    </w:p>
    <w:p w14:paraId="573C41F0" w14:textId="77777777" w:rsidR="00C03EC4" w:rsidRDefault="00C03EC4" w:rsidP="00C03EC4">
      <w:pPr>
        <w:spacing w:after="0"/>
        <w:jc w:val="both"/>
        <w:rPr>
          <w:rFonts w:asciiTheme="majorHAnsi" w:hAnsiTheme="majorHAnsi" w:cstheme="majorHAnsi"/>
        </w:rPr>
      </w:pPr>
    </w:p>
    <w:p w14:paraId="3DBA7512" w14:textId="77777777" w:rsidR="00C03EC4" w:rsidRDefault="00C03EC4" w:rsidP="00C03EC4">
      <w:pPr>
        <w:spacing w:after="0"/>
        <w:jc w:val="both"/>
        <w:rPr>
          <w:rFonts w:asciiTheme="majorHAnsi" w:hAnsiTheme="majorHAnsi" w:cstheme="majorHAnsi"/>
        </w:rPr>
      </w:pPr>
    </w:p>
    <w:p w14:paraId="352A1386" w14:textId="77777777" w:rsidR="00C03EC4" w:rsidRDefault="00C03EC4" w:rsidP="00C03EC4">
      <w:pPr>
        <w:spacing w:after="0"/>
        <w:jc w:val="both"/>
        <w:rPr>
          <w:rFonts w:asciiTheme="majorHAnsi" w:hAnsiTheme="majorHAnsi" w:cstheme="majorHAnsi"/>
        </w:rPr>
      </w:pPr>
    </w:p>
    <w:p w14:paraId="2A3BC94F" w14:textId="77777777" w:rsidR="00C03EC4" w:rsidRDefault="00C03EC4" w:rsidP="00C03EC4">
      <w:pPr>
        <w:spacing w:after="0" w:line="240" w:lineRule="auto"/>
        <w:jc w:val="both"/>
        <w:rPr>
          <w:b/>
          <w:bCs/>
          <w:sz w:val="120"/>
          <w:szCs w:val="120"/>
        </w:rPr>
      </w:pPr>
      <w:r w:rsidRPr="002E75D4">
        <w:rPr>
          <w:rFonts w:asciiTheme="majorHAnsi" w:hAnsiTheme="majorHAnsi" w:cstheme="majorHAnsi"/>
          <w:noProof/>
          <w:sz w:val="24"/>
          <w:szCs w:val="24"/>
          <w:lang w:eastAsia="fr-FR"/>
        </w:rPr>
        <w:drawing>
          <wp:anchor distT="0" distB="0" distL="114300" distR="114300" simplePos="0" relativeHeight="251668480" behindDoc="1" locked="0" layoutInCell="1" allowOverlap="1" wp14:anchorId="49AD31BA" wp14:editId="14597BFF">
            <wp:simplePos x="0" y="0"/>
            <wp:positionH relativeFrom="column">
              <wp:posOffset>-969487</wp:posOffset>
            </wp:positionH>
            <wp:positionV relativeFrom="paragraph">
              <wp:posOffset>-3865418</wp:posOffset>
            </wp:positionV>
            <wp:extent cx="7914640" cy="13832481"/>
            <wp:effectExtent l="38100" t="38100" r="35560" b="36195"/>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1089_vector-background-design-red.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14640" cy="13832481"/>
                    </a:xfrm>
                    <a:prstGeom prst="rect">
                      <a:avLst/>
                    </a:prstGeom>
                    <a:solidFill>
                      <a:srgbClr val="FFFFFF">
                        <a:shade val="85000"/>
                      </a:srgbClr>
                    </a:solidFill>
                    <a:ln w="190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14:paraId="52A69611" w14:textId="77777777" w:rsidR="00C03EC4" w:rsidRDefault="00C03EC4" w:rsidP="00C03EC4">
      <w:pPr>
        <w:spacing w:after="0" w:line="240" w:lineRule="auto"/>
        <w:jc w:val="both"/>
        <w:rPr>
          <w:b/>
          <w:bCs/>
          <w:sz w:val="120"/>
          <w:szCs w:val="120"/>
        </w:rPr>
      </w:pPr>
    </w:p>
    <w:p w14:paraId="5BD7F71F" w14:textId="77777777" w:rsidR="00C03EC4" w:rsidRDefault="00C03EC4" w:rsidP="00C03EC4">
      <w:pPr>
        <w:spacing w:after="0" w:line="240" w:lineRule="auto"/>
        <w:jc w:val="both"/>
        <w:rPr>
          <w:b/>
          <w:bCs/>
          <w:sz w:val="120"/>
          <w:szCs w:val="120"/>
        </w:rPr>
      </w:pPr>
    </w:p>
    <w:p w14:paraId="07303E27" w14:textId="77777777" w:rsidR="00C03EC4" w:rsidRDefault="00C03EC4" w:rsidP="00C03EC4">
      <w:pPr>
        <w:spacing w:after="0" w:line="240" w:lineRule="auto"/>
        <w:jc w:val="both"/>
        <w:rPr>
          <w:b/>
          <w:bCs/>
          <w:sz w:val="120"/>
          <w:szCs w:val="120"/>
        </w:rPr>
      </w:pPr>
      <w:r w:rsidRPr="00F24A9E">
        <w:rPr>
          <w:b/>
          <w:bCs/>
          <w:sz w:val="120"/>
          <w:szCs w:val="120"/>
        </w:rPr>
        <w:t xml:space="preserve">CHAPITRE IV  </w:t>
      </w:r>
    </w:p>
    <w:p w14:paraId="60CD0222" w14:textId="77777777" w:rsidR="00C03EC4" w:rsidRPr="00F9467F" w:rsidRDefault="00C03EC4" w:rsidP="00C03EC4">
      <w:pPr>
        <w:spacing w:after="0" w:line="240" w:lineRule="auto"/>
        <w:jc w:val="both"/>
        <w:rPr>
          <w:b/>
          <w:bCs/>
          <w:sz w:val="40"/>
          <w:szCs w:val="40"/>
        </w:rPr>
      </w:pPr>
      <w:r w:rsidRPr="00F9467F">
        <w:rPr>
          <w:b/>
          <w:sz w:val="40"/>
          <w:szCs w:val="40"/>
        </w:rPr>
        <w:t>IMPLICATION DES ACTEURS NON ETATIQUES DANS LA CDN</w:t>
      </w:r>
    </w:p>
    <w:p w14:paraId="33D7B363" w14:textId="77777777" w:rsidR="00C03EC4" w:rsidRPr="00A021BD" w:rsidRDefault="00C03EC4" w:rsidP="00C03EC4">
      <w:pPr>
        <w:pStyle w:val="BodyText"/>
        <w:spacing w:line="240" w:lineRule="auto"/>
        <w:ind w:left="851"/>
        <w:rPr>
          <w:rFonts w:asciiTheme="majorHAnsi" w:hAnsiTheme="majorHAnsi" w:cstheme="majorHAnsi"/>
          <w:b/>
          <w:bCs/>
          <w:sz w:val="28"/>
          <w:szCs w:val="28"/>
        </w:rPr>
      </w:pPr>
    </w:p>
    <w:p w14:paraId="7509990E"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0C41A1DB"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4CEAF419"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6CA33CFE"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4D67DB47"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24540823"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46C8FC48"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278340A2"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71533E98"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219552D1"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7896F0AB"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519BBAAB"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5E551759"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016D9A63"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64C86E67" w14:textId="77777777" w:rsidR="00C03EC4" w:rsidRPr="002E75D4" w:rsidRDefault="00C03EC4" w:rsidP="00C03EC4">
      <w:pPr>
        <w:spacing w:after="0" w:line="240" w:lineRule="auto"/>
        <w:ind w:right="96" w:firstLine="91"/>
        <w:jc w:val="both"/>
        <w:rPr>
          <w:rFonts w:asciiTheme="majorHAnsi" w:hAnsiTheme="majorHAnsi" w:cstheme="majorHAnsi"/>
          <w:sz w:val="24"/>
          <w:szCs w:val="24"/>
        </w:rPr>
      </w:pPr>
    </w:p>
    <w:p w14:paraId="78404639" w14:textId="77777777" w:rsidR="00C03EC4" w:rsidRPr="002E75D4" w:rsidRDefault="00C03EC4" w:rsidP="00C03EC4">
      <w:pPr>
        <w:spacing w:after="0" w:line="240" w:lineRule="auto"/>
        <w:ind w:right="96"/>
        <w:jc w:val="both"/>
        <w:rPr>
          <w:rFonts w:asciiTheme="majorHAnsi" w:hAnsiTheme="majorHAnsi" w:cstheme="majorHAnsi"/>
          <w:sz w:val="24"/>
          <w:szCs w:val="24"/>
        </w:rPr>
      </w:pPr>
    </w:p>
    <w:p w14:paraId="54D2F816" w14:textId="77777777" w:rsidR="00C03EC4" w:rsidRPr="002E75D4" w:rsidRDefault="00C03EC4" w:rsidP="00C03EC4">
      <w:pPr>
        <w:spacing w:after="0" w:line="240" w:lineRule="auto"/>
        <w:ind w:right="96"/>
        <w:jc w:val="both"/>
        <w:rPr>
          <w:rFonts w:asciiTheme="majorHAnsi" w:hAnsiTheme="majorHAnsi" w:cstheme="majorHAnsi"/>
          <w:sz w:val="24"/>
          <w:szCs w:val="24"/>
        </w:rPr>
      </w:pPr>
    </w:p>
    <w:p w14:paraId="3C8435BD" w14:textId="77777777" w:rsidR="00C03EC4" w:rsidRDefault="00C03EC4" w:rsidP="00C03EC4">
      <w:pPr>
        <w:spacing w:after="0" w:line="240" w:lineRule="auto"/>
        <w:ind w:right="96"/>
        <w:jc w:val="both"/>
        <w:rPr>
          <w:rFonts w:asciiTheme="majorHAnsi" w:hAnsiTheme="majorHAnsi" w:cstheme="majorHAnsi"/>
          <w:sz w:val="24"/>
          <w:szCs w:val="24"/>
        </w:rPr>
      </w:pPr>
    </w:p>
    <w:p w14:paraId="370E7405" w14:textId="77777777" w:rsidR="00C03EC4" w:rsidRDefault="00C03EC4" w:rsidP="00C03EC4">
      <w:pPr>
        <w:spacing w:after="0" w:line="240" w:lineRule="auto"/>
        <w:ind w:right="96"/>
        <w:jc w:val="both"/>
        <w:rPr>
          <w:rFonts w:asciiTheme="majorHAnsi" w:hAnsiTheme="majorHAnsi" w:cstheme="majorHAnsi"/>
          <w:sz w:val="24"/>
          <w:szCs w:val="24"/>
        </w:rPr>
      </w:pPr>
    </w:p>
    <w:p w14:paraId="4085ADEC" w14:textId="77777777" w:rsidR="00C03EC4" w:rsidRDefault="00C03EC4" w:rsidP="00C03EC4">
      <w:pPr>
        <w:spacing w:after="0" w:line="240" w:lineRule="auto"/>
        <w:ind w:right="96"/>
        <w:jc w:val="both"/>
        <w:rPr>
          <w:rFonts w:asciiTheme="majorHAnsi" w:hAnsiTheme="majorHAnsi" w:cstheme="majorHAnsi"/>
          <w:sz w:val="24"/>
          <w:szCs w:val="24"/>
        </w:rPr>
      </w:pPr>
    </w:p>
    <w:p w14:paraId="636E02DC" w14:textId="77777777" w:rsidR="00C03EC4" w:rsidRDefault="00C03EC4" w:rsidP="00C03EC4">
      <w:pPr>
        <w:spacing w:after="0" w:line="240" w:lineRule="auto"/>
        <w:ind w:right="96"/>
        <w:jc w:val="both"/>
        <w:rPr>
          <w:rFonts w:asciiTheme="majorHAnsi" w:hAnsiTheme="majorHAnsi" w:cstheme="majorHAnsi"/>
          <w:sz w:val="24"/>
          <w:szCs w:val="24"/>
        </w:rPr>
      </w:pPr>
    </w:p>
    <w:p w14:paraId="0E70A0BF" w14:textId="77777777" w:rsidR="00C03EC4" w:rsidRDefault="00C03EC4" w:rsidP="00C03EC4">
      <w:pPr>
        <w:spacing w:after="0" w:line="240" w:lineRule="auto"/>
        <w:ind w:right="96"/>
        <w:jc w:val="both"/>
        <w:rPr>
          <w:rFonts w:asciiTheme="majorHAnsi" w:hAnsiTheme="majorHAnsi" w:cstheme="majorHAnsi"/>
          <w:sz w:val="24"/>
          <w:szCs w:val="24"/>
        </w:rPr>
      </w:pPr>
    </w:p>
    <w:p w14:paraId="11D3654E" w14:textId="77777777" w:rsidR="00C03EC4" w:rsidRDefault="00C03EC4" w:rsidP="00C03EC4">
      <w:pPr>
        <w:spacing w:after="0" w:line="240" w:lineRule="auto"/>
        <w:ind w:right="96"/>
        <w:jc w:val="both"/>
        <w:rPr>
          <w:rFonts w:asciiTheme="majorHAnsi" w:hAnsiTheme="majorHAnsi" w:cstheme="majorHAnsi"/>
          <w:sz w:val="24"/>
          <w:szCs w:val="24"/>
        </w:rPr>
      </w:pPr>
    </w:p>
    <w:p w14:paraId="75E2115D" w14:textId="77777777" w:rsidR="00C03EC4" w:rsidRDefault="00C03EC4" w:rsidP="00C03EC4">
      <w:pPr>
        <w:spacing w:after="0" w:line="240" w:lineRule="auto"/>
        <w:ind w:right="96"/>
        <w:jc w:val="both"/>
        <w:rPr>
          <w:rFonts w:asciiTheme="majorHAnsi" w:hAnsiTheme="majorHAnsi" w:cstheme="majorHAnsi"/>
          <w:sz w:val="24"/>
          <w:szCs w:val="24"/>
        </w:rPr>
      </w:pPr>
    </w:p>
    <w:p w14:paraId="7CC1072E" w14:textId="77777777" w:rsidR="00C03EC4" w:rsidRPr="002E75D4" w:rsidRDefault="00C03EC4" w:rsidP="00C03EC4">
      <w:pPr>
        <w:spacing w:after="0" w:line="240" w:lineRule="auto"/>
        <w:ind w:right="96"/>
        <w:jc w:val="both"/>
        <w:rPr>
          <w:rFonts w:asciiTheme="majorHAnsi" w:hAnsiTheme="majorHAnsi" w:cstheme="majorHAnsi"/>
          <w:sz w:val="24"/>
          <w:szCs w:val="24"/>
        </w:rPr>
      </w:pPr>
    </w:p>
    <w:p w14:paraId="143D6D38" w14:textId="77777777" w:rsidR="00C03EC4" w:rsidRPr="00A021BD" w:rsidRDefault="00C03EC4" w:rsidP="00C03EC4">
      <w:pPr>
        <w:pStyle w:val="Paragraphedeliste"/>
        <w:numPr>
          <w:ilvl w:val="1"/>
          <w:numId w:val="8"/>
        </w:numPr>
        <w:spacing w:before="120" w:after="0" w:line="240" w:lineRule="auto"/>
        <w:ind w:left="567" w:right="2833" w:hanging="567"/>
        <w:rPr>
          <w:rFonts w:asciiTheme="majorHAnsi" w:hAnsiTheme="majorHAnsi" w:cstheme="majorHAnsi"/>
          <w:b/>
          <w:sz w:val="34"/>
          <w:szCs w:val="34"/>
        </w:rPr>
      </w:pPr>
      <w:r w:rsidRPr="00A021BD">
        <w:rPr>
          <w:rFonts w:asciiTheme="majorHAnsi" w:hAnsiTheme="majorHAnsi" w:cstheme="majorHAnsi"/>
          <w:b/>
          <w:sz w:val="34"/>
          <w:szCs w:val="34"/>
        </w:rPr>
        <w:t>IMPLICATION</w:t>
      </w:r>
      <w:r>
        <w:rPr>
          <w:rFonts w:asciiTheme="majorHAnsi" w:hAnsiTheme="majorHAnsi" w:cstheme="majorHAnsi"/>
          <w:b/>
          <w:sz w:val="34"/>
          <w:szCs w:val="34"/>
        </w:rPr>
        <w:t xml:space="preserve"> </w:t>
      </w:r>
      <w:r w:rsidRPr="00A021BD">
        <w:rPr>
          <w:rFonts w:asciiTheme="majorHAnsi" w:hAnsiTheme="majorHAnsi" w:cstheme="majorHAnsi"/>
          <w:b/>
          <w:sz w:val="34"/>
          <w:szCs w:val="34"/>
        </w:rPr>
        <w:t>DES ACTEURS DE LA SOCIET</w:t>
      </w:r>
      <w:r>
        <w:rPr>
          <w:rFonts w:asciiTheme="majorHAnsi" w:hAnsiTheme="majorHAnsi" w:cstheme="majorHAnsi"/>
          <w:b/>
          <w:sz w:val="34"/>
          <w:szCs w:val="34"/>
        </w:rPr>
        <w:t xml:space="preserve">E </w:t>
      </w:r>
      <w:r w:rsidRPr="00A021BD">
        <w:rPr>
          <w:rFonts w:asciiTheme="majorHAnsi" w:hAnsiTheme="majorHAnsi" w:cstheme="majorHAnsi"/>
          <w:b/>
          <w:sz w:val="34"/>
          <w:szCs w:val="34"/>
        </w:rPr>
        <w:t>CIVILE</w:t>
      </w:r>
    </w:p>
    <w:p w14:paraId="1393BA6A" w14:textId="77777777" w:rsidR="00C03EC4" w:rsidRPr="002E75D4" w:rsidRDefault="00C03EC4" w:rsidP="00C03EC4">
      <w:pPr>
        <w:pStyle w:val="StylenormalENABEL"/>
        <w:rPr>
          <w:rFonts w:asciiTheme="majorHAnsi" w:hAnsiTheme="majorHAnsi" w:cstheme="majorHAnsi"/>
          <w:kern w:val="0"/>
          <w:sz w:val="24"/>
          <w:lang w:val="fr-FR" w:eastAsia="fr-FR"/>
        </w:rPr>
      </w:pPr>
    </w:p>
    <w:p w14:paraId="25632969"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 xml:space="preserve">En général les acteurs de la société civile ne sont pas dotés de ressources suffisantes pour réaliser leurs programmes, faute des difficultés d’éligibilité aux guichets de financement aux différents fonds (fonds vert, fonds climat etc..) et ne disposent pas d’instruments pour mesurer les émissions des gaz à effet de serre engendrées par leurs interventions. </w:t>
      </w:r>
    </w:p>
    <w:p w14:paraId="68385DC2" w14:textId="77777777" w:rsidR="00C03EC4" w:rsidRPr="002E75D4" w:rsidRDefault="00C03EC4" w:rsidP="00C03EC4">
      <w:pPr>
        <w:pStyle w:val="StylenormalENABEL"/>
        <w:rPr>
          <w:rFonts w:asciiTheme="majorHAnsi" w:hAnsiTheme="majorHAnsi" w:cstheme="majorHAnsi"/>
          <w:sz w:val="24"/>
        </w:rPr>
      </w:pPr>
    </w:p>
    <w:p w14:paraId="5571D9A8"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Pour la période 2020-2030 la société civile (essentiellement les ONG) a planifié plusieurs projets susceptibles de renforcer la réduction des émissions mais, surtout les actions d’adaptation de la population. Il s’agit des programmes et projets suivants :</w:t>
      </w:r>
    </w:p>
    <w:p w14:paraId="0BB7D761" w14:textId="77777777" w:rsidR="00C03EC4" w:rsidRPr="002E75D4" w:rsidRDefault="00C03EC4" w:rsidP="00C03EC4">
      <w:pPr>
        <w:pStyle w:val="StylenormalENABEL"/>
        <w:numPr>
          <w:ilvl w:val="0"/>
          <w:numId w:val="48"/>
        </w:numPr>
        <w:spacing w:before="60"/>
        <w:contextualSpacing w:val="0"/>
        <w:rPr>
          <w:rFonts w:asciiTheme="majorHAnsi" w:hAnsiTheme="majorHAnsi" w:cstheme="majorHAnsi"/>
          <w:sz w:val="24"/>
        </w:rPr>
      </w:pPr>
      <w:r w:rsidRPr="002E75D4">
        <w:rPr>
          <w:rFonts w:asciiTheme="majorHAnsi" w:hAnsiTheme="majorHAnsi" w:cstheme="majorHAnsi"/>
          <w:sz w:val="24"/>
        </w:rPr>
        <w:t>Programme d’Appui à l’Amélioration de l’Environnement à travers les Actions Communautaires (PAEAC) ;</w:t>
      </w:r>
    </w:p>
    <w:p w14:paraId="26CE5372" w14:textId="77777777" w:rsidR="00C03EC4" w:rsidRPr="002E75D4" w:rsidRDefault="00C03EC4" w:rsidP="00C03EC4">
      <w:pPr>
        <w:pStyle w:val="StylenormalENABEL"/>
        <w:numPr>
          <w:ilvl w:val="0"/>
          <w:numId w:val="48"/>
        </w:numPr>
        <w:spacing w:before="60"/>
        <w:contextualSpacing w:val="0"/>
        <w:rPr>
          <w:rFonts w:asciiTheme="majorHAnsi" w:hAnsiTheme="majorHAnsi" w:cstheme="majorHAnsi"/>
          <w:sz w:val="24"/>
        </w:rPr>
      </w:pPr>
      <w:r w:rsidRPr="002E75D4">
        <w:rPr>
          <w:rFonts w:asciiTheme="majorHAnsi" w:hAnsiTheme="majorHAnsi" w:cstheme="majorHAnsi"/>
          <w:sz w:val="24"/>
        </w:rPr>
        <w:t>Programme de Gouvernance des Ressources Naturelles dans les Cercles de Nara et de Banamba et maillage hydraulique pastoral ;</w:t>
      </w:r>
    </w:p>
    <w:p w14:paraId="54640086" w14:textId="77777777" w:rsidR="00C03EC4" w:rsidRPr="002E75D4" w:rsidRDefault="00C03EC4" w:rsidP="00C03EC4">
      <w:pPr>
        <w:pStyle w:val="StylenormalENABEL"/>
        <w:numPr>
          <w:ilvl w:val="0"/>
          <w:numId w:val="48"/>
        </w:numPr>
        <w:spacing w:before="60"/>
        <w:contextualSpacing w:val="0"/>
        <w:rPr>
          <w:rFonts w:asciiTheme="majorHAnsi" w:hAnsiTheme="majorHAnsi" w:cstheme="majorHAnsi"/>
          <w:sz w:val="24"/>
        </w:rPr>
      </w:pPr>
      <w:r w:rsidRPr="002E75D4">
        <w:rPr>
          <w:rFonts w:asciiTheme="majorHAnsi" w:hAnsiTheme="majorHAnsi" w:cstheme="majorHAnsi"/>
          <w:sz w:val="24"/>
        </w:rPr>
        <w:t>Projet d'Accès à l’Energie Durable pour tous et Diffusion des Technologies à Bioénergie (Faso Bio 15 &amp; Lorena) dans certaines Communes du Mali ;</w:t>
      </w:r>
    </w:p>
    <w:p w14:paraId="1B74F2CB" w14:textId="77777777" w:rsidR="00C03EC4" w:rsidRPr="002E75D4" w:rsidRDefault="00C03EC4" w:rsidP="00C03EC4">
      <w:pPr>
        <w:pStyle w:val="StylenormalENABEL"/>
        <w:numPr>
          <w:ilvl w:val="0"/>
          <w:numId w:val="48"/>
        </w:numPr>
        <w:spacing w:before="60"/>
        <w:contextualSpacing w:val="0"/>
        <w:rPr>
          <w:rFonts w:asciiTheme="majorHAnsi" w:hAnsiTheme="majorHAnsi" w:cstheme="majorHAnsi"/>
          <w:sz w:val="24"/>
        </w:rPr>
      </w:pPr>
      <w:r w:rsidRPr="002E75D4">
        <w:rPr>
          <w:rFonts w:asciiTheme="majorHAnsi" w:hAnsiTheme="majorHAnsi" w:cstheme="majorHAnsi"/>
          <w:sz w:val="24"/>
        </w:rPr>
        <w:t>Projet Multi-Energies pour la Résilience et la gestion Intégrée des Terroirs (MERIT) ;</w:t>
      </w:r>
    </w:p>
    <w:p w14:paraId="70930E9D" w14:textId="77777777" w:rsidR="00C03EC4" w:rsidRPr="002E75D4" w:rsidRDefault="00C03EC4" w:rsidP="00C03EC4">
      <w:pPr>
        <w:pStyle w:val="StylenormalENABEL"/>
        <w:numPr>
          <w:ilvl w:val="0"/>
          <w:numId w:val="48"/>
        </w:numPr>
        <w:spacing w:before="60"/>
        <w:contextualSpacing w:val="0"/>
        <w:rPr>
          <w:rFonts w:asciiTheme="majorHAnsi" w:hAnsiTheme="majorHAnsi" w:cstheme="majorHAnsi"/>
          <w:sz w:val="24"/>
        </w:rPr>
      </w:pPr>
      <w:r w:rsidRPr="002E75D4">
        <w:rPr>
          <w:rFonts w:asciiTheme="majorHAnsi" w:hAnsiTheme="majorHAnsi" w:cstheme="majorHAnsi"/>
          <w:sz w:val="24"/>
        </w:rPr>
        <w:t>Projet de réduction de la pollution de l’air et des eaux liée à l’usage des pesticides et autres produits nuisibles ;</w:t>
      </w:r>
    </w:p>
    <w:p w14:paraId="54A49811" w14:textId="77777777" w:rsidR="00C03EC4" w:rsidRPr="002E75D4" w:rsidRDefault="00C03EC4" w:rsidP="00C03EC4">
      <w:pPr>
        <w:pStyle w:val="StylenormalENABEL"/>
        <w:numPr>
          <w:ilvl w:val="0"/>
          <w:numId w:val="48"/>
        </w:numPr>
        <w:spacing w:before="60"/>
        <w:contextualSpacing w:val="0"/>
        <w:rPr>
          <w:rFonts w:asciiTheme="majorHAnsi" w:hAnsiTheme="majorHAnsi" w:cstheme="majorHAnsi"/>
          <w:sz w:val="24"/>
        </w:rPr>
      </w:pPr>
      <w:r w:rsidRPr="002E75D4">
        <w:rPr>
          <w:rFonts w:asciiTheme="majorHAnsi" w:hAnsiTheme="majorHAnsi" w:cstheme="majorHAnsi"/>
          <w:sz w:val="24"/>
        </w:rPr>
        <w:t>Programme sous régional de Plaidoyer et de Renforcement des capacités « Voie des citoyens pour les changements climatiques » (Mali, Burkina, Benin, Cote d’Ivoire) ;</w:t>
      </w:r>
    </w:p>
    <w:p w14:paraId="496AA7E8" w14:textId="77777777" w:rsidR="00C03EC4" w:rsidRPr="002E75D4" w:rsidRDefault="00C03EC4" w:rsidP="00C03EC4">
      <w:pPr>
        <w:pStyle w:val="StylenormalENABEL"/>
        <w:numPr>
          <w:ilvl w:val="0"/>
          <w:numId w:val="48"/>
        </w:numPr>
        <w:spacing w:before="60"/>
        <w:contextualSpacing w:val="0"/>
        <w:rPr>
          <w:rFonts w:asciiTheme="majorHAnsi" w:hAnsiTheme="majorHAnsi" w:cstheme="majorHAnsi"/>
          <w:sz w:val="24"/>
        </w:rPr>
      </w:pPr>
      <w:r w:rsidRPr="002E75D4">
        <w:rPr>
          <w:rFonts w:asciiTheme="majorHAnsi" w:hAnsiTheme="majorHAnsi" w:cstheme="majorHAnsi"/>
          <w:sz w:val="24"/>
        </w:rPr>
        <w:t>Programme d’Appui au Renforcement des Capacités d’Adaptation aux Changements Climatiques au Mali. (</w:t>
      </w:r>
      <w:r w:rsidRPr="002E75D4">
        <w:rPr>
          <w:rFonts w:asciiTheme="majorHAnsi" w:hAnsiTheme="majorHAnsi" w:cstheme="majorHAnsi"/>
          <w:sz w:val="24"/>
          <w:lang w:eastAsia="en-GB"/>
        </w:rPr>
        <w:t>PARCAC)</w:t>
      </w:r>
      <w:r w:rsidRPr="002E75D4">
        <w:rPr>
          <w:rFonts w:asciiTheme="majorHAnsi" w:hAnsiTheme="majorHAnsi" w:cstheme="majorHAnsi"/>
          <w:sz w:val="24"/>
        </w:rPr>
        <w:t> ;</w:t>
      </w:r>
    </w:p>
    <w:p w14:paraId="1BB8400E" w14:textId="77777777" w:rsidR="00C03EC4" w:rsidRPr="002E75D4" w:rsidRDefault="00C03EC4" w:rsidP="00C03EC4">
      <w:pPr>
        <w:pStyle w:val="StylenormalENABEL"/>
        <w:numPr>
          <w:ilvl w:val="0"/>
          <w:numId w:val="48"/>
        </w:numPr>
        <w:spacing w:before="60"/>
        <w:contextualSpacing w:val="0"/>
        <w:rPr>
          <w:rFonts w:asciiTheme="majorHAnsi" w:hAnsiTheme="majorHAnsi" w:cstheme="majorHAnsi"/>
          <w:sz w:val="24"/>
        </w:rPr>
      </w:pPr>
      <w:r w:rsidRPr="002E75D4">
        <w:rPr>
          <w:rFonts w:asciiTheme="majorHAnsi" w:hAnsiTheme="majorHAnsi" w:cstheme="majorHAnsi"/>
          <w:sz w:val="24"/>
        </w:rPr>
        <w:t>Programme de Renforcement de la Résilience des Communautés Agro-pastorales Vulnérables du Sahel occidental face aux Effets des Changements Climatiques.</w:t>
      </w:r>
    </w:p>
    <w:p w14:paraId="067E2B96" w14:textId="77777777" w:rsidR="00C03EC4" w:rsidRPr="002E75D4" w:rsidRDefault="00C03EC4" w:rsidP="00C03EC4">
      <w:pPr>
        <w:pStyle w:val="StylenormalENABEL"/>
        <w:spacing w:before="60"/>
        <w:contextualSpacing w:val="0"/>
        <w:rPr>
          <w:rFonts w:asciiTheme="majorHAnsi" w:hAnsiTheme="majorHAnsi" w:cstheme="majorHAnsi"/>
          <w:sz w:val="24"/>
        </w:rPr>
      </w:pPr>
      <w:r w:rsidRPr="002E75D4">
        <w:rPr>
          <w:rFonts w:asciiTheme="majorHAnsi" w:hAnsiTheme="majorHAnsi" w:cstheme="majorHAnsi"/>
          <w:sz w:val="24"/>
        </w:rPr>
        <w:t>Le montant global est de 30 milliards de FCFA, soit 60 millions de dollars de 2020 à 2030, qui sont inscrits dans le chapitre adaptation</w:t>
      </w:r>
    </w:p>
    <w:p w14:paraId="315ACC72" w14:textId="77777777" w:rsidR="00C03EC4" w:rsidRPr="00A021BD" w:rsidRDefault="00C03EC4" w:rsidP="00C03EC4">
      <w:pPr>
        <w:pStyle w:val="Paragraphedeliste"/>
        <w:numPr>
          <w:ilvl w:val="1"/>
          <w:numId w:val="8"/>
        </w:numPr>
        <w:spacing w:before="120" w:after="0"/>
        <w:ind w:right="283" w:hanging="801"/>
        <w:jc w:val="both"/>
        <w:rPr>
          <w:rFonts w:asciiTheme="majorHAnsi" w:hAnsiTheme="majorHAnsi" w:cstheme="majorHAnsi"/>
          <w:b/>
          <w:sz w:val="34"/>
          <w:szCs w:val="34"/>
        </w:rPr>
      </w:pPr>
      <w:r w:rsidRPr="00A021BD">
        <w:rPr>
          <w:rFonts w:asciiTheme="majorHAnsi" w:hAnsiTheme="majorHAnsi" w:cstheme="majorHAnsi"/>
          <w:b/>
          <w:sz w:val="34"/>
          <w:szCs w:val="34"/>
        </w:rPr>
        <w:t xml:space="preserve">IMPLICATION DES COLLECTIVITES TERRITORIALES </w:t>
      </w:r>
    </w:p>
    <w:p w14:paraId="0361F8AD" w14:textId="77777777" w:rsidR="00C03EC4" w:rsidRPr="002E75D4" w:rsidRDefault="00C03EC4" w:rsidP="00C03EC4">
      <w:pPr>
        <w:autoSpaceDE w:val="0"/>
        <w:autoSpaceDN w:val="0"/>
        <w:adjustRightInd w:val="0"/>
        <w:spacing w:after="0"/>
        <w:jc w:val="both"/>
        <w:rPr>
          <w:rFonts w:asciiTheme="majorHAnsi" w:hAnsiTheme="majorHAnsi" w:cstheme="majorHAnsi"/>
          <w:b/>
          <w:sz w:val="24"/>
          <w:szCs w:val="24"/>
        </w:rPr>
      </w:pPr>
      <w:r w:rsidRPr="002E75D4">
        <w:rPr>
          <w:rFonts w:asciiTheme="majorHAnsi" w:hAnsiTheme="majorHAnsi" w:cstheme="majorHAnsi"/>
          <w:b/>
          <w:sz w:val="24"/>
          <w:szCs w:val="24"/>
        </w:rPr>
        <w:t xml:space="preserve">  </w:t>
      </w:r>
    </w:p>
    <w:p w14:paraId="608DAE5B"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territoire du Mali se répartit en plusieurs niveaux de collectivités territoriales : les régions, le District, les cercles et les communes. </w:t>
      </w:r>
    </w:p>
    <w:p w14:paraId="3666CB07"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 w:val="24"/>
          <w:szCs w:val="24"/>
        </w:rPr>
      </w:pPr>
    </w:p>
    <w:p w14:paraId="20878996"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rPr>
      </w:pPr>
      <w:r w:rsidRPr="002E75D4">
        <w:rPr>
          <w:rFonts w:asciiTheme="majorHAnsi" w:hAnsiTheme="majorHAnsi" w:cstheme="majorHAnsi"/>
          <w:sz w:val="24"/>
          <w:szCs w:val="24"/>
        </w:rPr>
        <w:t xml:space="preserve">La répartition des compétences entre les différents échelons de l'administration est organisée de telle façon que les collectivités locales et l'administration centrale concourent </w:t>
      </w:r>
      <w:r w:rsidRPr="002E75D4">
        <w:rPr>
          <w:rFonts w:asciiTheme="majorHAnsi" w:hAnsiTheme="majorHAnsi" w:cstheme="majorHAnsi"/>
        </w:rPr>
        <w:t>à la gestion des affaires de l’Etat.</w:t>
      </w:r>
    </w:p>
    <w:p w14:paraId="0AB60242"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 w:val="24"/>
          <w:szCs w:val="24"/>
        </w:rPr>
      </w:pPr>
    </w:p>
    <w:p w14:paraId="03814B63" w14:textId="77777777" w:rsidR="00C03EC4" w:rsidRPr="002E75D4" w:rsidRDefault="00C03EC4" w:rsidP="00C03EC4">
      <w:pPr>
        <w:shd w:val="clear" w:color="auto" w:fill="FFFFFF"/>
        <w:spacing w:after="0" w:line="240" w:lineRule="auto"/>
        <w:jc w:val="both"/>
        <w:textAlignment w:val="baseline"/>
        <w:rPr>
          <w:rFonts w:asciiTheme="majorHAnsi" w:hAnsiTheme="majorHAnsi" w:cstheme="majorHAnsi"/>
          <w:sz w:val="24"/>
          <w:szCs w:val="24"/>
        </w:rPr>
      </w:pPr>
      <w:r w:rsidRPr="002E75D4">
        <w:rPr>
          <w:rFonts w:asciiTheme="majorHAnsi" w:hAnsiTheme="majorHAnsi" w:cstheme="majorHAnsi"/>
          <w:sz w:val="24"/>
          <w:szCs w:val="24"/>
        </w:rPr>
        <w:t>Outre leurs actions relevant directement de leurs compétences, les collectivités développent des politiques de proximité et de territoire, dont la réussite suppose de mobiliser les citoyens et l’ensemble des acteurs économiques locaux.</w:t>
      </w:r>
    </w:p>
    <w:p w14:paraId="1235CB4A" w14:textId="77777777" w:rsidR="00C03EC4" w:rsidRPr="002E75D4" w:rsidRDefault="00C03EC4" w:rsidP="00C03EC4">
      <w:pPr>
        <w:pStyle w:val="Paragraphedeliste"/>
        <w:shd w:val="clear" w:color="auto" w:fill="FFFFFF"/>
        <w:spacing w:after="0" w:line="240" w:lineRule="auto"/>
        <w:ind w:left="360"/>
        <w:jc w:val="both"/>
        <w:textAlignment w:val="baseline"/>
        <w:rPr>
          <w:rFonts w:asciiTheme="majorHAnsi" w:hAnsiTheme="majorHAnsi" w:cstheme="majorHAnsi"/>
          <w:sz w:val="24"/>
          <w:szCs w:val="24"/>
        </w:rPr>
      </w:pPr>
    </w:p>
    <w:p w14:paraId="34C4A3CF" w14:textId="77777777" w:rsidR="00C03EC4" w:rsidRPr="002E75D4" w:rsidRDefault="00C03EC4" w:rsidP="00C03EC4">
      <w:pPr>
        <w:spacing w:after="0" w:line="240" w:lineRule="auto"/>
        <w:jc w:val="both"/>
        <w:rPr>
          <w:rFonts w:asciiTheme="majorHAnsi" w:hAnsiTheme="majorHAnsi" w:cstheme="majorHAnsi"/>
          <w:sz w:val="24"/>
          <w:szCs w:val="24"/>
          <w:shd w:val="clear" w:color="auto" w:fill="FFFFFF"/>
        </w:rPr>
      </w:pPr>
      <w:r w:rsidRPr="002E75D4">
        <w:rPr>
          <w:rFonts w:asciiTheme="majorHAnsi" w:hAnsiTheme="majorHAnsi" w:cstheme="majorHAnsi"/>
          <w:sz w:val="24"/>
          <w:szCs w:val="24"/>
          <w:shd w:val="clear" w:color="auto" w:fill="FFFFFF"/>
        </w:rPr>
        <w:t xml:space="preserve">Si la réussite d’un projet territorial repose sur un portage politique fort, elle nécessite également la mobilisation de l’ensemble des acteurs du territoire : citoyens, entreprises, agriculteurs, institutions. Les collectivités sont en bonne place pour enclencher des dynamiques concertées, suivre et valoriser les efforts de chacun. </w:t>
      </w:r>
    </w:p>
    <w:p w14:paraId="76CD1270" w14:textId="77777777" w:rsidR="00C03EC4" w:rsidRPr="002E75D4" w:rsidRDefault="00C03EC4" w:rsidP="00C03EC4">
      <w:pPr>
        <w:shd w:val="clear" w:color="auto" w:fill="FFFFFF"/>
        <w:spacing w:line="240" w:lineRule="auto"/>
        <w:jc w:val="both"/>
        <w:textAlignment w:val="baseline"/>
        <w:rPr>
          <w:rFonts w:asciiTheme="majorHAnsi" w:hAnsiTheme="majorHAnsi" w:cstheme="majorHAnsi"/>
          <w:sz w:val="24"/>
          <w:szCs w:val="24"/>
        </w:rPr>
      </w:pPr>
      <w:r w:rsidRPr="002E75D4">
        <w:rPr>
          <w:rFonts w:asciiTheme="majorHAnsi" w:hAnsiTheme="majorHAnsi" w:cstheme="majorHAnsi"/>
          <w:sz w:val="24"/>
          <w:szCs w:val="24"/>
        </w:rPr>
        <w:t xml:space="preserve">En ce qui concerne la protection de l’environnement et des ressources naturelles et de la lutte contre les changements climatiques, les collectivités territoriales, au vu de leurs compétences générales constituent l'échelon idéal par excellence d'application des différents principes et d'implémentation des politiques environnementales telles qu'envisagées par les Conventions et Accords. </w:t>
      </w:r>
    </w:p>
    <w:p w14:paraId="34495583" w14:textId="77777777" w:rsidR="00C03EC4" w:rsidRPr="002E75D4" w:rsidRDefault="00C03EC4" w:rsidP="00C03EC4">
      <w:pPr>
        <w:shd w:val="clear" w:color="auto" w:fill="FFFFFF"/>
        <w:spacing w:line="240" w:lineRule="auto"/>
        <w:jc w:val="both"/>
        <w:textAlignment w:val="baseline"/>
        <w:rPr>
          <w:rFonts w:asciiTheme="majorHAnsi" w:hAnsiTheme="majorHAnsi" w:cstheme="majorHAnsi"/>
          <w:sz w:val="24"/>
          <w:szCs w:val="24"/>
        </w:rPr>
      </w:pPr>
      <w:r w:rsidRPr="002E75D4">
        <w:rPr>
          <w:rFonts w:asciiTheme="majorHAnsi" w:hAnsiTheme="majorHAnsi" w:cstheme="majorHAnsi"/>
          <w:sz w:val="24"/>
          <w:szCs w:val="24"/>
        </w:rPr>
        <w:t>Elles sont de plus en plus responsabilisées et leurs multiples compétences en divers domaines les amènent à orienter leurs politiques vers des actions de développement durable</w:t>
      </w:r>
      <w:r w:rsidRPr="002E75D4">
        <w:rPr>
          <w:rFonts w:asciiTheme="majorHAnsi" w:hAnsiTheme="majorHAnsi" w:cstheme="majorHAnsi"/>
        </w:rPr>
        <w:t>.</w:t>
      </w:r>
    </w:p>
    <w:p w14:paraId="7C62621F" w14:textId="77777777" w:rsidR="00C03EC4" w:rsidRPr="002E75D4" w:rsidRDefault="00C03EC4" w:rsidP="00C03EC4">
      <w:pPr>
        <w:pStyle w:val="Paragraphedeliste"/>
        <w:shd w:val="clear" w:color="auto" w:fill="FFFFFF"/>
        <w:spacing w:after="120" w:line="240" w:lineRule="auto"/>
        <w:ind w:left="0"/>
        <w:contextualSpacing w:val="0"/>
        <w:jc w:val="both"/>
        <w:textAlignment w:val="baseline"/>
        <w:rPr>
          <w:rFonts w:asciiTheme="majorHAnsi" w:hAnsiTheme="majorHAnsi" w:cstheme="majorHAnsi"/>
          <w:sz w:val="24"/>
          <w:szCs w:val="24"/>
        </w:rPr>
      </w:pPr>
      <w:r w:rsidRPr="002E75D4">
        <w:rPr>
          <w:rFonts w:asciiTheme="majorHAnsi" w:hAnsiTheme="majorHAnsi" w:cstheme="majorHAnsi"/>
          <w:sz w:val="24"/>
          <w:szCs w:val="24"/>
        </w:rPr>
        <w:t xml:space="preserve">C’est tenant compte de ce constat que la révision de la CDN a vu la participation des collectivités territoriales dans les différentes phases de sa préparation (concertations régionales, rencontres sectorielles), afin de mobiliser au mieux leur participation. </w:t>
      </w:r>
    </w:p>
    <w:p w14:paraId="655B2FCD"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rPr>
        <w:t xml:space="preserve">La contribution des Collectivités territoriales à la dynamique de la CDN se fera à travers leurs associations représentatives que sont l’Association des Municipalités du Mali (AMM), l’Association des Collectivités Cercles du Mali (ACCM) et l’Association des Régions du Mali (ARM). Le Haut Conseil des Collectivités (HCC) sera également mis à contribution, conformément à ses attributions constitutionnelles </w:t>
      </w:r>
      <w:r w:rsidRPr="002E75D4">
        <w:rPr>
          <w:rFonts w:asciiTheme="majorHAnsi" w:hAnsiTheme="majorHAnsi" w:cstheme="majorHAnsi"/>
          <w:sz w:val="24"/>
          <w:szCs w:val="24"/>
        </w:rPr>
        <w:t>Le HCC a d’ailleurs élaboré une charte de l’environnement qui sera un des outils de base des actions à engager.</w:t>
      </w:r>
    </w:p>
    <w:p w14:paraId="7645C514" w14:textId="77777777" w:rsidR="00C03EC4" w:rsidRPr="002E75D4" w:rsidRDefault="00C03EC4" w:rsidP="00C03EC4">
      <w:pPr>
        <w:spacing w:after="0" w:line="240" w:lineRule="auto"/>
        <w:jc w:val="both"/>
        <w:rPr>
          <w:rFonts w:asciiTheme="majorHAnsi" w:hAnsiTheme="majorHAnsi" w:cstheme="majorHAnsi"/>
          <w:sz w:val="10"/>
        </w:rPr>
      </w:pPr>
    </w:p>
    <w:p w14:paraId="6DA688E6" w14:textId="77777777" w:rsidR="00C03EC4" w:rsidRPr="002E75D4" w:rsidRDefault="00C03EC4" w:rsidP="00C03EC4">
      <w:pPr>
        <w:pStyle w:val="Paragraphedeliste"/>
        <w:spacing w:after="120" w:line="240" w:lineRule="auto"/>
        <w:ind w:left="0"/>
        <w:contextualSpacing w:val="0"/>
        <w:jc w:val="both"/>
        <w:rPr>
          <w:rFonts w:asciiTheme="majorHAnsi" w:hAnsiTheme="majorHAnsi" w:cstheme="majorHAnsi"/>
          <w:sz w:val="24"/>
          <w:szCs w:val="24"/>
        </w:rPr>
      </w:pPr>
      <w:r w:rsidRPr="002E75D4">
        <w:rPr>
          <w:rFonts w:asciiTheme="majorHAnsi" w:hAnsiTheme="majorHAnsi" w:cstheme="majorHAnsi"/>
          <w:sz w:val="24"/>
          <w:szCs w:val="24"/>
        </w:rPr>
        <w:t>Les communes, ainsi que les cercles et les régions, joueront un rôle important d’autant plus qu’elles sont responsables de la planification au niveau du terrain à travers leurs PDSEC.</w:t>
      </w:r>
    </w:p>
    <w:p w14:paraId="28DECA7B" w14:textId="77777777" w:rsidR="00C03EC4" w:rsidRPr="002E75D4" w:rsidRDefault="00C03EC4" w:rsidP="00C03EC4">
      <w:pPr>
        <w:spacing w:line="240" w:lineRule="auto"/>
        <w:ind w:right="-143"/>
        <w:jc w:val="both"/>
        <w:rPr>
          <w:rFonts w:asciiTheme="majorHAnsi" w:hAnsiTheme="majorHAnsi" w:cstheme="majorHAnsi"/>
          <w:sz w:val="24"/>
        </w:rPr>
      </w:pPr>
      <w:r w:rsidRPr="002E75D4">
        <w:rPr>
          <w:rFonts w:asciiTheme="majorHAnsi" w:hAnsiTheme="majorHAnsi" w:cstheme="majorHAnsi"/>
          <w:sz w:val="24"/>
        </w:rPr>
        <w:t>Les grands axes de leur participation concerneront le renforcement de leur capacité et la formation en termes de changement climatique, la prise en compte de ce dernier dans leur planification et leur participation à des projets de terrain prenant en compte les changements climatiques.</w:t>
      </w:r>
    </w:p>
    <w:p w14:paraId="060A8BF5" w14:textId="77777777" w:rsidR="00C03EC4" w:rsidRDefault="00C03EC4" w:rsidP="00C03EC4">
      <w:pPr>
        <w:pStyle w:val="Paragraphedeliste"/>
        <w:numPr>
          <w:ilvl w:val="1"/>
          <w:numId w:val="8"/>
        </w:numPr>
        <w:spacing w:before="120" w:after="0" w:line="240" w:lineRule="auto"/>
        <w:ind w:left="567" w:right="992" w:hanging="567"/>
        <w:jc w:val="both"/>
        <w:rPr>
          <w:rFonts w:asciiTheme="majorHAnsi" w:hAnsiTheme="majorHAnsi" w:cstheme="majorHAnsi"/>
          <w:b/>
          <w:sz w:val="34"/>
          <w:szCs w:val="34"/>
        </w:rPr>
      </w:pPr>
      <w:r w:rsidRPr="00A021BD">
        <w:rPr>
          <w:rFonts w:asciiTheme="majorHAnsi" w:hAnsiTheme="majorHAnsi" w:cstheme="majorHAnsi"/>
          <w:b/>
          <w:sz w:val="34"/>
          <w:szCs w:val="34"/>
        </w:rPr>
        <w:t xml:space="preserve">IMPLICATION DU SECTEUR PRIVE </w:t>
      </w:r>
    </w:p>
    <w:p w14:paraId="5DA7DD1D" w14:textId="77777777" w:rsidR="00C03EC4" w:rsidRPr="005F51BC" w:rsidRDefault="00C03EC4" w:rsidP="00C03EC4">
      <w:pPr>
        <w:pStyle w:val="Paragraphedeliste"/>
        <w:spacing w:before="120" w:after="0" w:line="240" w:lineRule="auto"/>
        <w:ind w:left="567" w:right="992"/>
        <w:jc w:val="both"/>
        <w:rPr>
          <w:rFonts w:asciiTheme="majorHAnsi" w:hAnsiTheme="majorHAnsi" w:cstheme="majorHAnsi"/>
          <w:b/>
          <w:sz w:val="34"/>
          <w:szCs w:val="34"/>
        </w:rPr>
      </w:pPr>
    </w:p>
    <w:p w14:paraId="0BDA9AB3" w14:textId="77777777" w:rsidR="00C03EC4" w:rsidRPr="002E75D4" w:rsidRDefault="00C03EC4" w:rsidP="00C03EC4">
      <w:pPr>
        <w:spacing w:after="300" w:line="240" w:lineRule="auto"/>
        <w:jc w:val="both"/>
        <w:rPr>
          <w:rFonts w:asciiTheme="majorHAnsi" w:hAnsiTheme="majorHAnsi" w:cstheme="majorHAnsi"/>
          <w:sz w:val="24"/>
          <w:szCs w:val="24"/>
        </w:rPr>
      </w:pPr>
      <w:r w:rsidRPr="002E75D4">
        <w:rPr>
          <w:rFonts w:asciiTheme="majorHAnsi" w:hAnsiTheme="majorHAnsi" w:cstheme="majorHAnsi"/>
          <w:sz w:val="24"/>
          <w:szCs w:val="24"/>
        </w:rPr>
        <w:t>Avec des ambitions fortes d’influencer positivement la prise de décision pour l’adoption de politiques favorables à un développement résilient aux changements climatiques, le secteur privé du Mali est un acteur important de la lutte contre les changements climatiques. C’est ce qui justifie son implication dans la révision de la CDN.</w:t>
      </w:r>
    </w:p>
    <w:p w14:paraId="5C6D6D7D" w14:textId="77777777" w:rsidR="00C03EC4" w:rsidRPr="002E75D4" w:rsidRDefault="00C03EC4" w:rsidP="00C03EC4">
      <w:pPr>
        <w:spacing w:before="240" w:line="240" w:lineRule="auto"/>
        <w:jc w:val="both"/>
        <w:rPr>
          <w:rFonts w:asciiTheme="majorHAnsi" w:hAnsiTheme="majorHAnsi" w:cstheme="majorHAnsi"/>
          <w:sz w:val="24"/>
          <w:szCs w:val="24"/>
        </w:rPr>
      </w:pPr>
      <w:r w:rsidRPr="002E75D4">
        <w:rPr>
          <w:rFonts w:asciiTheme="majorHAnsi" w:hAnsiTheme="majorHAnsi" w:cstheme="majorHAnsi"/>
          <w:sz w:val="24"/>
          <w:szCs w:val="24"/>
        </w:rPr>
        <w:t>Le secteur privé malien s’intéresse aux défis environnementaux et sociaux à long terme que sont les changements climatiques, les inégalités économiques et de genre, ainsi que la dégradation des ressources naturelles.</w:t>
      </w:r>
    </w:p>
    <w:p w14:paraId="6D0E318B" w14:textId="77777777" w:rsidR="00C03EC4" w:rsidRPr="002E75D4" w:rsidRDefault="00C03EC4" w:rsidP="00C03EC4">
      <w:pPr>
        <w:spacing w:after="300" w:line="240" w:lineRule="auto"/>
        <w:jc w:val="both"/>
        <w:rPr>
          <w:rFonts w:asciiTheme="majorHAnsi" w:hAnsiTheme="majorHAnsi" w:cstheme="majorHAnsi"/>
          <w:sz w:val="24"/>
          <w:szCs w:val="24"/>
        </w:rPr>
      </w:pPr>
      <w:r w:rsidRPr="002E75D4">
        <w:rPr>
          <w:rFonts w:asciiTheme="majorHAnsi" w:hAnsiTheme="majorHAnsi" w:cstheme="majorHAnsi"/>
          <w:sz w:val="24"/>
          <w:szCs w:val="24"/>
        </w:rPr>
        <w:t>Il a la responsabilité, car c’est une orientation politique majeure de la politique malienne, de prendre des mesures idoines pour réduire leurs émissions de gaz à effet de serre dans leurs processus par des innovations technologiques moins émettrices de gaz à effet de serre et également de s’engager dans la recherche de processus sobres en carbone.</w:t>
      </w:r>
    </w:p>
    <w:p w14:paraId="548F993B" w14:textId="77777777" w:rsidR="00C03EC4" w:rsidRPr="002E75D4" w:rsidRDefault="00C03EC4" w:rsidP="00C03EC4">
      <w:pPr>
        <w:spacing w:before="24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De telles initiatives constituent un maillon important pour transformer une vision en une réalité grâce à des innovations et des moyens financiers, car la mise en œuvre de la CDN comporte des financements publics, mais aussi privés, afin de rendre les investissements plus durables.</w:t>
      </w:r>
    </w:p>
    <w:p w14:paraId="23F65077" w14:textId="77777777" w:rsidR="00C03EC4" w:rsidRPr="002E75D4" w:rsidRDefault="00C03EC4" w:rsidP="00C03EC4">
      <w:pPr>
        <w:spacing w:after="0" w:line="240" w:lineRule="auto"/>
        <w:jc w:val="both"/>
        <w:rPr>
          <w:rFonts w:asciiTheme="majorHAnsi" w:hAnsiTheme="majorHAnsi" w:cstheme="majorHAnsi"/>
          <w:sz w:val="24"/>
          <w:szCs w:val="24"/>
        </w:rPr>
      </w:pPr>
    </w:p>
    <w:p w14:paraId="3B79AB84" w14:textId="77777777" w:rsidR="00C03EC4" w:rsidRPr="002E75D4" w:rsidRDefault="00C03EC4" w:rsidP="00C03EC4">
      <w:pPr>
        <w:spacing w:after="300" w:line="240" w:lineRule="auto"/>
        <w:jc w:val="both"/>
        <w:rPr>
          <w:rFonts w:asciiTheme="majorHAnsi" w:hAnsiTheme="majorHAnsi" w:cstheme="majorHAnsi"/>
          <w:sz w:val="24"/>
          <w:szCs w:val="24"/>
        </w:rPr>
      </w:pPr>
      <w:r w:rsidRPr="002E75D4">
        <w:rPr>
          <w:rFonts w:asciiTheme="majorHAnsi" w:hAnsiTheme="majorHAnsi" w:cstheme="majorHAnsi"/>
          <w:sz w:val="24"/>
          <w:szCs w:val="24"/>
        </w:rPr>
        <w:t>Le Ministère de l’Industrie est très favorable à la promotion de telles initiatives et un groupe de travail mixte avec le Ministère de l’Environnement est en cours de gestation.</w:t>
      </w:r>
    </w:p>
    <w:p w14:paraId="45B5A8F7"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Par ailleurs, le programme « Gomme Arabique », développé par le Ministère en charge de l’Environnement en collaboration avec le Ministère de l’Industrie et du Commerce, prévoit des activités de réhabilitation et de plantations des gommerais à hauteur de 200.000 hectares qui seront réalisées dans huit régions du Nord, Ouest et du Centre du Mali.</w:t>
      </w:r>
    </w:p>
    <w:p w14:paraId="651FE68B"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La CDN prévoit dans ce sens un vaste Programme national intégré entre les secteurs de l’industrie, des Collectivités Territoriales et des Forêts portant sur le Développement de la Production de gomme arabique et autres Produits Forestiers Non Ligneux.  Le but de ce programme est la réalisation, à l’horizon 2030, de 200 000 ha de plantations d’Acacia Sénégal, d’anacarde et autres produits forestiers à valeur ajoutée. Quatre secteurs sont concernés :</w:t>
      </w:r>
    </w:p>
    <w:p w14:paraId="13DC4208" w14:textId="77777777" w:rsidR="00C03EC4" w:rsidRPr="002E75D4" w:rsidRDefault="00C03EC4" w:rsidP="00C03EC4">
      <w:pPr>
        <w:pStyle w:val="Paragraphedeliste"/>
        <w:numPr>
          <w:ilvl w:val="0"/>
          <w:numId w:val="49"/>
        </w:numPr>
        <w:spacing w:after="160" w:line="240" w:lineRule="auto"/>
        <w:jc w:val="both"/>
        <w:rPr>
          <w:rFonts w:asciiTheme="majorHAnsi" w:hAnsiTheme="majorHAnsi" w:cstheme="majorHAnsi"/>
          <w:sz w:val="24"/>
        </w:rPr>
      </w:pPr>
      <w:r w:rsidRPr="002E75D4">
        <w:rPr>
          <w:rFonts w:asciiTheme="majorHAnsi" w:hAnsiTheme="majorHAnsi" w:cstheme="majorHAnsi"/>
          <w:sz w:val="24"/>
        </w:rPr>
        <w:t>Le secteur de l’industrie pour dynamiser et harmoniser la récupération de la gomme arabique, sa transformation, sa commercialisation ainsi que la participation au financement des plantations ;</w:t>
      </w:r>
    </w:p>
    <w:p w14:paraId="03DDF717" w14:textId="77777777" w:rsidR="00C03EC4" w:rsidRPr="002E75D4" w:rsidRDefault="00C03EC4" w:rsidP="00C03EC4">
      <w:pPr>
        <w:pStyle w:val="Paragraphedeliste"/>
        <w:numPr>
          <w:ilvl w:val="0"/>
          <w:numId w:val="49"/>
        </w:numPr>
        <w:spacing w:after="160" w:line="240" w:lineRule="auto"/>
        <w:jc w:val="both"/>
        <w:rPr>
          <w:rFonts w:asciiTheme="majorHAnsi" w:hAnsiTheme="majorHAnsi" w:cstheme="majorHAnsi"/>
          <w:sz w:val="24"/>
        </w:rPr>
      </w:pPr>
      <w:r w:rsidRPr="002E75D4">
        <w:rPr>
          <w:rFonts w:asciiTheme="majorHAnsi" w:hAnsiTheme="majorHAnsi" w:cstheme="majorHAnsi"/>
          <w:sz w:val="24"/>
        </w:rPr>
        <w:t>Le secteur forestier national pour l’identification des zones de plantation, l’assistance technique aux paysans (directement et par la formation de techniciens), la création de pépinières et la gestion de l’aspect climatique et environnemental ;</w:t>
      </w:r>
    </w:p>
    <w:p w14:paraId="755CDA16" w14:textId="77777777" w:rsidR="00C03EC4" w:rsidRPr="002E75D4" w:rsidRDefault="00C03EC4" w:rsidP="00C03EC4">
      <w:pPr>
        <w:pStyle w:val="Paragraphedeliste"/>
        <w:numPr>
          <w:ilvl w:val="0"/>
          <w:numId w:val="49"/>
        </w:numPr>
        <w:spacing w:after="160" w:line="240" w:lineRule="auto"/>
        <w:jc w:val="both"/>
        <w:rPr>
          <w:rFonts w:asciiTheme="majorHAnsi" w:hAnsiTheme="majorHAnsi" w:cstheme="majorHAnsi"/>
          <w:sz w:val="24"/>
        </w:rPr>
      </w:pPr>
      <w:r w:rsidRPr="002E75D4">
        <w:rPr>
          <w:rFonts w:asciiTheme="majorHAnsi" w:hAnsiTheme="majorHAnsi" w:cstheme="majorHAnsi"/>
          <w:sz w:val="24"/>
        </w:rPr>
        <w:t>Le secteur des collectivités territoriales pour l’organisation des communes et des collectivités locales ;</w:t>
      </w:r>
    </w:p>
    <w:p w14:paraId="062768B2" w14:textId="77777777" w:rsidR="00C03EC4" w:rsidRPr="002E75D4" w:rsidRDefault="00C03EC4" w:rsidP="00C03EC4">
      <w:pPr>
        <w:pStyle w:val="Paragraphedeliste"/>
        <w:numPr>
          <w:ilvl w:val="0"/>
          <w:numId w:val="49"/>
        </w:numPr>
        <w:spacing w:after="160" w:line="240" w:lineRule="auto"/>
        <w:jc w:val="both"/>
        <w:rPr>
          <w:rFonts w:asciiTheme="majorHAnsi" w:hAnsiTheme="majorHAnsi" w:cstheme="majorHAnsi"/>
          <w:sz w:val="24"/>
        </w:rPr>
      </w:pPr>
      <w:r w:rsidRPr="002E75D4">
        <w:rPr>
          <w:rFonts w:asciiTheme="majorHAnsi" w:hAnsiTheme="majorHAnsi" w:cstheme="majorHAnsi"/>
          <w:sz w:val="24"/>
        </w:rPr>
        <w:t>La société civile sera également concernée par la création ou le renforcement d’ONG chargées de l’assistance technique aux planteurs.</w:t>
      </w:r>
    </w:p>
    <w:p w14:paraId="30E81AF4" w14:textId="77777777" w:rsidR="00C03EC4" w:rsidRPr="002E75D4" w:rsidRDefault="00C03EC4" w:rsidP="00C03EC4">
      <w:pPr>
        <w:pStyle w:val="Paragraphedeliste"/>
        <w:spacing w:line="240" w:lineRule="auto"/>
        <w:jc w:val="both"/>
        <w:rPr>
          <w:rFonts w:asciiTheme="majorHAnsi" w:hAnsiTheme="majorHAnsi" w:cstheme="majorHAnsi"/>
          <w:sz w:val="24"/>
        </w:rPr>
      </w:pPr>
    </w:p>
    <w:p w14:paraId="535ED583" w14:textId="77777777" w:rsidR="00C03EC4" w:rsidRPr="002E75D4" w:rsidRDefault="00C03EC4" w:rsidP="00C03EC4">
      <w:pPr>
        <w:pStyle w:val="Paragraphedeliste"/>
        <w:spacing w:line="240" w:lineRule="auto"/>
        <w:ind w:left="142"/>
        <w:jc w:val="both"/>
        <w:rPr>
          <w:rStyle w:val="Accentuation"/>
          <w:rFonts w:asciiTheme="majorHAnsi" w:hAnsiTheme="majorHAnsi" w:cstheme="majorHAnsi"/>
          <w:b w:val="0"/>
          <w:bCs w:val="0"/>
          <w:i w:val="0"/>
          <w:iCs w:val="0"/>
          <w:sz w:val="24"/>
        </w:rPr>
      </w:pPr>
      <w:r w:rsidRPr="002E75D4">
        <w:rPr>
          <w:rStyle w:val="Accentuation"/>
          <w:rFonts w:asciiTheme="majorHAnsi" w:hAnsiTheme="majorHAnsi" w:cstheme="majorHAnsi"/>
          <w:b w:val="0"/>
          <w:bCs w:val="0"/>
          <w:i w:val="0"/>
          <w:iCs w:val="0"/>
          <w:sz w:val="24"/>
        </w:rPr>
        <w:t>Les organisations socio-professionnelles (APCAM, …) seront également associées à ce programme et à d’autres programmes induits par la CDN</w:t>
      </w:r>
    </w:p>
    <w:p w14:paraId="7831D861" w14:textId="77777777" w:rsidR="00C03EC4" w:rsidRPr="002E75D4" w:rsidRDefault="00C03EC4" w:rsidP="00C03EC4">
      <w:pPr>
        <w:pStyle w:val="Paragraphedeliste"/>
        <w:spacing w:line="240" w:lineRule="auto"/>
        <w:jc w:val="both"/>
        <w:rPr>
          <w:rFonts w:asciiTheme="majorHAnsi" w:hAnsiTheme="majorHAnsi" w:cstheme="majorHAnsi"/>
          <w:sz w:val="24"/>
        </w:rPr>
      </w:pPr>
    </w:p>
    <w:p w14:paraId="2B47009E" w14:textId="77777777" w:rsidR="00C03EC4" w:rsidRPr="002E75D4" w:rsidRDefault="00C03EC4" w:rsidP="00C03EC4">
      <w:pPr>
        <w:pStyle w:val="Paragraphedeliste"/>
        <w:spacing w:line="240" w:lineRule="auto"/>
        <w:ind w:left="284"/>
        <w:jc w:val="both"/>
        <w:rPr>
          <w:rFonts w:asciiTheme="majorHAnsi" w:hAnsiTheme="majorHAnsi" w:cstheme="majorHAnsi"/>
          <w:sz w:val="24"/>
        </w:rPr>
      </w:pPr>
      <w:r w:rsidRPr="002E75D4">
        <w:rPr>
          <w:rFonts w:asciiTheme="majorHAnsi" w:hAnsiTheme="majorHAnsi" w:cstheme="majorHAnsi"/>
          <w:sz w:val="24"/>
          <w:szCs w:val="24"/>
        </w:rPr>
        <w:t>Par ailleurs, plusieurs entreprises maliennes, sensibles à l’environnement et aux changements climatiques, se sont déjà engagées dans une dynamique écologique notamment dans les domaines de :</w:t>
      </w:r>
    </w:p>
    <w:p w14:paraId="5DEF7F25" w14:textId="77777777" w:rsidR="00C03EC4" w:rsidRPr="002E75D4" w:rsidRDefault="00C03EC4" w:rsidP="00C03EC4">
      <w:pPr>
        <w:pStyle w:val="Paragraphedeliste"/>
        <w:numPr>
          <w:ilvl w:val="0"/>
          <w:numId w:val="50"/>
        </w:numPr>
        <w:spacing w:before="240" w:line="240" w:lineRule="auto"/>
        <w:jc w:val="both"/>
        <w:rPr>
          <w:rFonts w:asciiTheme="majorHAnsi" w:hAnsiTheme="majorHAnsi" w:cstheme="majorHAnsi"/>
          <w:sz w:val="24"/>
          <w:szCs w:val="24"/>
        </w:rPr>
      </w:pPr>
      <w:r w:rsidRPr="002E75D4">
        <w:rPr>
          <w:rFonts w:asciiTheme="majorHAnsi" w:hAnsiTheme="majorHAnsi" w:cstheme="majorHAnsi"/>
          <w:sz w:val="24"/>
          <w:szCs w:val="24"/>
        </w:rPr>
        <w:t>La fabrication de briquettes combustibles à partir de déchets agricoles et forestiers. Cette technologie permet de limiter le déboisement dû aux combustibles ligneux (Société Yiriimex) ;</w:t>
      </w:r>
    </w:p>
    <w:p w14:paraId="47ED8ECD" w14:textId="77777777" w:rsidR="00C03EC4" w:rsidRPr="002E75D4" w:rsidRDefault="00C03EC4" w:rsidP="00C03EC4">
      <w:pPr>
        <w:pStyle w:val="Paragraphedeliste"/>
        <w:numPr>
          <w:ilvl w:val="0"/>
          <w:numId w:val="50"/>
        </w:numPr>
        <w:spacing w:before="24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La </w:t>
      </w:r>
      <w:r w:rsidRPr="002E75D4">
        <w:rPr>
          <w:rFonts w:asciiTheme="majorHAnsi" w:hAnsiTheme="majorHAnsi" w:cstheme="majorHAnsi"/>
          <w:sz w:val="24"/>
        </w:rPr>
        <w:t>transformation des déchets plastiques de Bamako en objets utilitaires par des processus industriels performants du type mamaplastico (Société SIGMA).</w:t>
      </w:r>
    </w:p>
    <w:p w14:paraId="7F8C1893"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Ces initiatives montrent que des entreprises peuvent jouer un rôle de meneur dans la recherche d’une réponse ambitieuse aux côtés du Ministère de l’Industrie pour affronter les changements climatiques. </w:t>
      </w:r>
    </w:p>
    <w:p w14:paraId="3C97B1E5" w14:textId="77777777" w:rsidR="00C03EC4" w:rsidRPr="002E75D4" w:rsidRDefault="00C03EC4" w:rsidP="00C03EC4">
      <w:pPr>
        <w:spacing w:after="0"/>
        <w:jc w:val="both"/>
        <w:rPr>
          <w:rFonts w:asciiTheme="majorHAnsi" w:hAnsiTheme="majorHAnsi" w:cstheme="majorHAnsi"/>
          <w:sz w:val="24"/>
          <w:szCs w:val="24"/>
        </w:rPr>
      </w:pPr>
    </w:p>
    <w:p w14:paraId="229066A6" w14:textId="77777777" w:rsidR="00C03EC4" w:rsidRPr="002E75D4" w:rsidRDefault="00C03EC4" w:rsidP="00C03EC4">
      <w:pPr>
        <w:spacing w:after="0"/>
        <w:jc w:val="both"/>
        <w:rPr>
          <w:rFonts w:asciiTheme="majorHAnsi" w:hAnsiTheme="majorHAnsi" w:cstheme="majorHAnsi"/>
          <w:sz w:val="24"/>
          <w:szCs w:val="24"/>
        </w:rPr>
      </w:pPr>
    </w:p>
    <w:p w14:paraId="18BEBA96" w14:textId="77777777" w:rsidR="00C03EC4" w:rsidRPr="002E75D4" w:rsidRDefault="00C03EC4" w:rsidP="00C03EC4">
      <w:pPr>
        <w:spacing w:after="0"/>
        <w:jc w:val="both"/>
        <w:rPr>
          <w:rFonts w:asciiTheme="majorHAnsi" w:hAnsiTheme="majorHAnsi" w:cstheme="majorHAnsi"/>
          <w:sz w:val="24"/>
          <w:szCs w:val="24"/>
        </w:rPr>
      </w:pPr>
    </w:p>
    <w:p w14:paraId="6808BC85" w14:textId="77777777" w:rsidR="00C03EC4" w:rsidRPr="002E75D4" w:rsidRDefault="00C03EC4" w:rsidP="00C03EC4">
      <w:pPr>
        <w:spacing w:after="0"/>
        <w:jc w:val="both"/>
        <w:rPr>
          <w:rFonts w:asciiTheme="majorHAnsi" w:hAnsiTheme="majorHAnsi" w:cstheme="majorHAnsi"/>
          <w:sz w:val="24"/>
          <w:szCs w:val="24"/>
        </w:rPr>
      </w:pPr>
    </w:p>
    <w:p w14:paraId="323524B7" w14:textId="77777777" w:rsidR="00C03EC4" w:rsidRPr="002E75D4" w:rsidRDefault="00C03EC4" w:rsidP="00C03EC4">
      <w:pPr>
        <w:spacing w:after="0"/>
        <w:jc w:val="both"/>
        <w:rPr>
          <w:rFonts w:asciiTheme="majorHAnsi" w:hAnsiTheme="majorHAnsi" w:cstheme="majorHAnsi"/>
          <w:sz w:val="24"/>
          <w:szCs w:val="24"/>
        </w:rPr>
      </w:pPr>
    </w:p>
    <w:p w14:paraId="3BCE579F" w14:textId="77777777" w:rsidR="00C03EC4" w:rsidRPr="002E75D4" w:rsidRDefault="00C03EC4" w:rsidP="00C03EC4">
      <w:pPr>
        <w:spacing w:after="0"/>
        <w:jc w:val="both"/>
        <w:rPr>
          <w:rFonts w:asciiTheme="majorHAnsi" w:hAnsiTheme="majorHAnsi" w:cstheme="majorHAnsi"/>
          <w:sz w:val="24"/>
          <w:szCs w:val="24"/>
        </w:rPr>
      </w:pPr>
    </w:p>
    <w:p w14:paraId="7604521D" w14:textId="77777777" w:rsidR="00C03EC4" w:rsidRPr="002E75D4" w:rsidRDefault="00C03EC4" w:rsidP="00C03EC4">
      <w:pPr>
        <w:spacing w:after="0"/>
        <w:jc w:val="both"/>
        <w:rPr>
          <w:rFonts w:asciiTheme="majorHAnsi" w:hAnsiTheme="majorHAnsi" w:cstheme="majorHAnsi"/>
          <w:sz w:val="24"/>
          <w:szCs w:val="24"/>
        </w:rPr>
      </w:pPr>
    </w:p>
    <w:p w14:paraId="1ECF1D32" w14:textId="77777777" w:rsidR="00C03EC4" w:rsidRPr="002E75D4" w:rsidRDefault="00C03EC4" w:rsidP="00C03EC4">
      <w:pPr>
        <w:spacing w:after="0"/>
        <w:jc w:val="both"/>
        <w:rPr>
          <w:rFonts w:asciiTheme="majorHAnsi" w:hAnsiTheme="majorHAnsi" w:cstheme="majorHAnsi"/>
          <w:sz w:val="24"/>
          <w:szCs w:val="24"/>
        </w:rPr>
      </w:pPr>
    </w:p>
    <w:p w14:paraId="0A9FC7FB" w14:textId="77777777" w:rsidR="00C03EC4" w:rsidRPr="002E75D4" w:rsidRDefault="00C03EC4" w:rsidP="00C03EC4">
      <w:pPr>
        <w:spacing w:after="0"/>
        <w:jc w:val="both"/>
        <w:rPr>
          <w:rFonts w:asciiTheme="majorHAnsi" w:hAnsiTheme="majorHAnsi" w:cstheme="majorHAnsi"/>
          <w:noProof/>
          <w:sz w:val="24"/>
          <w:szCs w:val="24"/>
        </w:rPr>
      </w:pPr>
    </w:p>
    <w:p w14:paraId="2EC7A03B" w14:textId="77777777" w:rsidR="00C03EC4" w:rsidRPr="002E75D4" w:rsidRDefault="00C03EC4" w:rsidP="00C03EC4">
      <w:pPr>
        <w:spacing w:after="0"/>
        <w:jc w:val="both"/>
        <w:rPr>
          <w:rFonts w:asciiTheme="majorHAnsi" w:hAnsiTheme="majorHAnsi" w:cstheme="majorHAnsi"/>
          <w:noProof/>
          <w:sz w:val="24"/>
          <w:szCs w:val="24"/>
        </w:rPr>
      </w:pPr>
    </w:p>
    <w:p w14:paraId="3B5ACC2E" w14:textId="77777777" w:rsidR="00C03EC4" w:rsidRPr="002E75D4" w:rsidRDefault="00C03EC4" w:rsidP="00C03EC4">
      <w:pPr>
        <w:spacing w:after="0"/>
        <w:jc w:val="both"/>
        <w:rPr>
          <w:rFonts w:asciiTheme="majorHAnsi" w:hAnsiTheme="majorHAnsi" w:cstheme="majorHAnsi"/>
          <w:noProof/>
          <w:sz w:val="24"/>
          <w:szCs w:val="24"/>
        </w:rPr>
      </w:pPr>
    </w:p>
    <w:p w14:paraId="2557C4E6" w14:textId="77777777" w:rsidR="00C03EC4" w:rsidRPr="002E75D4" w:rsidRDefault="00C03EC4" w:rsidP="00C03EC4">
      <w:pPr>
        <w:spacing w:after="0"/>
        <w:jc w:val="both"/>
        <w:rPr>
          <w:rFonts w:asciiTheme="majorHAnsi" w:hAnsiTheme="majorHAnsi" w:cstheme="majorHAnsi"/>
          <w:sz w:val="24"/>
          <w:szCs w:val="24"/>
        </w:rPr>
      </w:pPr>
    </w:p>
    <w:p w14:paraId="33296A45" w14:textId="77777777" w:rsidR="00C03EC4" w:rsidRPr="002E75D4" w:rsidRDefault="00C03EC4" w:rsidP="00C03EC4">
      <w:pPr>
        <w:spacing w:after="0"/>
        <w:jc w:val="both"/>
        <w:rPr>
          <w:rFonts w:asciiTheme="majorHAnsi" w:hAnsiTheme="majorHAnsi" w:cstheme="majorHAnsi"/>
          <w:sz w:val="24"/>
          <w:szCs w:val="24"/>
        </w:rPr>
      </w:pPr>
      <w:r w:rsidRPr="002E75D4">
        <w:rPr>
          <w:rFonts w:asciiTheme="majorHAnsi" w:hAnsiTheme="majorHAnsi" w:cstheme="majorHAnsi"/>
          <w:noProof/>
          <w:sz w:val="24"/>
          <w:szCs w:val="24"/>
          <w:lang w:eastAsia="fr-FR"/>
        </w:rPr>
        <w:drawing>
          <wp:anchor distT="0" distB="0" distL="114300" distR="114300" simplePos="0" relativeHeight="251669504" behindDoc="1" locked="0" layoutInCell="1" allowOverlap="1" wp14:anchorId="47F6ADCB" wp14:editId="5D761B83">
            <wp:simplePos x="0" y="0"/>
            <wp:positionH relativeFrom="column">
              <wp:posOffset>-799465</wp:posOffset>
            </wp:positionH>
            <wp:positionV relativeFrom="paragraph">
              <wp:posOffset>-908743</wp:posOffset>
            </wp:positionV>
            <wp:extent cx="7626350" cy="12688570"/>
            <wp:effectExtent l="57150" t="57150" r="50800" b="5588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1089_vector-background-design-red.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626350" cy="12688570"/>
                    </a:xfrm>
                    <a:prstGeom prst="rect">
                      <a:avLst/>
                    </a:prstGeom>
                    <a:solidFill>
                      <a:srgbClr val="FFFFFF">
                        <a:shade val="85000"/>
                      </a:srgbClr>
                    </a:solidFill>
                    <a:ln w="190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14:paraId="56DEB42E" w14:textId="77777777" w:rsidR="00C03EC4" w:rsidRPr="002E75D4" w:rsidRDefault="00C03EC4" w:rsidP="00C03EC4">
      <w:pPr>
        <w:spacing w:after="0"/>
        <w:jc w:val="both"/>
        <w:rPr>
          <w:rFonts w:asciiTheme="majorHAnsi" w:hAnsiTheme="majorHAnsi" w:cstheme="majorHAnsi"/>
          <w:sz w:val="24"/>
          <w:szCs w:val="24"/>
        </w:rPr>
      </w:pPr>
    </w:p>
    <w:p w14:paraId="38B31DC1" w14:textId="77777777" w:rsidR="00C03EC4" w:rsidRPr="002E75D4" w:rsidRDefault="00C03EC4" w:rsidP="00C03EC4">
      <w:pPr>
        <w:spacing w:after="0"/>
        <w:jc w:val="both"/>
        <w:rPr>
          <w:rFonts w:asciiTheme="majorHAnsi" w:hAnsiTheme="majorHAnsi" w:cstheme="majorHAnsi"/>
          <w:sz w:val="24"/>
          <w:szCs w:val="24"/>
        </w:rPr>
      </w:pPr>
    </w:p>
    <w:p w14:paraId="4A89552C" w14:textId="77777777" w:rsidR="00C03EC4" w:rsidRPr="002E75D4" w:rsidRDefault="00C03EC4" w:rsidP="00C03EC4">
      <w:pPr>
        <w:spacing w:after="0"/>
        <w:jc w:val="both"/>
        <w:rPr>
          <w:rFonts w:asciiTheme="majorHAnsi" w:hAnsiTheme="majorHAnsi" w:cstheme="majorHAnsi"/>
          <w:sz w:val="24"/>
          <w:szCs w:val="24"/>
        </w:rPr>
      </w:pPr>
    </w:p>
    <w:p w14:paraId="11954D95" w14:textId="77777777" w:rsidR="00C03EC4" w:rsidRPr="002E75D4" w:rsidRDefault="00C03EC4" w:rsidP="00C03EC4">
      <w:pPr>
        <w:spacing w:after="0"/>
        <w:jc w:val="both"/>
        <w:rPr>
          <w:rFonts w:asciiTheme="majorHAnsi" w:hAnsiTheme="majorHAnsi" w:cstheme="majorHAnsi"/>
          <w:sz w:val="24"/>
          <w:szCs w:val="24"/>
        </w:rPr>
      </w:pPr>
    </w:p>
    <w:p w14:paraId="27CE0361" w14:textId="77777777" w:rsidR="00C03EC4" w:rsidRPr="002E75D4" w:rsidRDefault="00C03EC4" w:rsidP="00C03EC4">
      <w:pPr>
        <w:spacing w:after="0"/>
        <w:jc w:val="both"/>
        <w:rPr>
          <w:rFonts w:asciiTheme="majorHAnsi" w:hAnsiTheme="majorHAnsi" w:cstheme="majorHAnsi"/>
          <w:sz w:val="24"/>
          <w:szCs w:val="24"/>
        </w:rPr>
      </w:pPr>
    </w:p>
    <w:p w14:paraId="25646733" w14:textId="77777777" w:rsidR="00C03EC4" w:rsidRPr="002E75D4" w:rsidRDefault="00C03EC4" w:rsidP="00C03EC4">
      <w:pPr>
        <w:spacing w:after="0"/>
        <w:jc w:val="both"/>
        <w:rPr>
          <w:rFonts w:asciiTheme="majorHAnsi" w:hAnsiTheme="majorHAnsi" w:cstheme="majorHAnsi"/>
          <w:sz w:val="24"/>
          <w:szCs w:val="24"/>
        </w:rPr>
      </w:pPr>
    </w:p>
    <w:p w14:paraId="17D7C388" w14:textId="77777777" w:rsidR="00C03EC4" w:rsidRPr="002E75D4" w:rsidRDefault="00C03EC4" w:rsidP="00C03EC4">
      <w:pPr>
        <w:spacing w:after="0"/>
        <w:jc w:val="both"/>
        <w:rPr>
          <w:rFonts w:asciiTheme="majorHAnsi" w:hAnsiTheme="majorHAnsi" w:cstheme="majorHAnsi"/>
          <w:sz w:val="24"/>
          <w:szCs w:val="24"/>
        </w:rPr>
      </w:pPr>
    </w:p>
    <w:p w14:paraId="4B74EE21" w14:textId="77777777" w:rsidR="00C03EC4" w:rsidRPr="002E75D4" w:rsidRDefault="00C03EC4" w:rsidP="00C03EC4">
      <w:pPr>
        <w:spacing w:after="0"/>
        <w:jc w:val="both"/>
        <w:rPr>
          <w:rFonts w:asciiTheme="majorHAnsi" w:hAnsiTheme="majorHAnsi" w:cstheme="majorHAnsi"/>
          <w:sz w:val="24"/>
          <w:szCs w:val="24"/>
        </w:rPr>
      </w:pPr>
    </w:p>
    <w:p w14:paraId="5FE04AE4" w14:textId="77777777" w:rsidR="00C03EC4" w:rsidRPr="002E75D4" w:rsidRDefault="00C03EC4" w:rsidP="00C03EC4">
      <w:pPr>
        <w:spacing w:after="0"/>
        <w:jc w:val="both"/>
        <w:rPr>
          <w:rFonts w:asciiTheme="majorHAnsi" w:hAnsiTheme="majorHAnsi" w:cstheme="majorHAnsi"/>
          <w:sz w:val="24"/>
          <w:szCs w:val="24"/>
        </w:rPr>
      </w:pPr>
    </w:p>
    <w:p w14:paraId="3AA6040A" w14:textId="77777777" w:rsidR="00C03EC4" w:rsidRPr="002E75D4" w:rsidRDefault="00C03EC4" w:rsidP="00C03EC4">
      <w:pPr>
        <w:spacing w:after="0"/>
        <w:jc w:val="both"/>
        <w:rPr>
          <w:rFonts w:asciiTheme="majorHAnsi" w:hAnsiTheme="majorHAnsi" w:cstheme="majorHAnsi"/>
          <w:sz w:val="24"/>
          <w:szCs w:val="24"/>
        </w:rPr>
      </w:pPr>
    </w:p>
    <w:p w14:paraId="0DF5CD1A" w14:textId="77777777" w:rsidR="00C03EC4" w:rsidRPr="002E75D4" w:rsidRDefault="00C03EC4" w:rsidP="00C03EC4">
      <w:pPr>
        <w:ind w:left="851"/>
        <w:rPr>
          <w:b/>
          <w:sz w:val="80"/>
          <w:szCs w:val="80"/>
        </w:rPr>
      </w:pPr>
    </w:p>
    <w:p w14:paraId="29CA0D47" w14:textId="77777777" w:rsidR="00C03EC4" w:rsidRPr="00F24A9E" w:rsidRDefault="00C03EC4" w:rsidP="00C03EC4">
      <w:pPr>
        <w:spacing w:line="240" w:lineRule="auto"/>
        <w:rPr>
          <w:b/>
          <w:sz w:val="120"/>
          <w:szCs w:val="120"/>
        </w:rPr>
      </w:pPr>
      <w:r w:rsidRPr="00F24A9E">
        <w:rPr>
          <w:b/>
          <w:sz w:val="120"/>
          <w:szCs w:val="120"/>
        </w:rPr>
        <w:t>CHAPITRE V</w:t>
      </w:r>
    </w:p>
    <w:p w14:paraId="476C246D" w14:textId="77777777" w:rsidR="00C03EC4" w:rsidRPr="00F24A9E" w:rsidRDefault="00C03EC4" w:rsidP="00C03EC4">
      <w:pPr>
        <w:spacing w:line="240" w:lineRule="auto"/>
        <w:rPr>
          <w:b/>
          <w:bCs/>
          <w:sz w:val="40"/>
          <w:szCs w:val="40"/>
        </w:rPr>
      </w:pPr>
      <w:r w:rsidRPr="00F24A9E">
        <w:rPr>
          <w:b/>
          <w:bCs/>
          <w:sz w:val="40"/>
          <w:szCs w:val="40"/>
        </w:rPr>
        <w:t>ADAPTATION AUX CHANGEMENTS CLIMATIQUES</w:t>
      </w:r>
    </w:p>
    <w:p w14:paraId="1ABE35F4" w14:textId="77777777" w:rsidR="00C03EC4" w:rsidRPr="002E75D4" w:rsidRDefault="00C03EC4" w:rsidP="00C03EC4">
      <w:pPr>
        <w:spacing w:before="120" w:after="120" w:line="240" w:lineRule="auto"/>
        <w:jc w:val="both"/>
        <w:rPr>
          <w:rFonts w:asciiTheme="majorHAnsi" w:hAnsiTheme="majorHAnsi" w:cstheme="majorHAnsi"/>
          <w:sz w:val="24"/>
        </w:rPr>
      </w:pPr>
    </w:p>
    <w:p w14:paraId="0E2888A4" w14:textId="77777777" w:rsidR="00C03EC4" w:rsidRPr="002E75D4" w:rsidRDefault="00C03EC4" w:rsidP="00C03EC4">
      <w:pPr>
        <w:spacing w:before="120" w:after="120" w:line="240" w:lineRule="auto"/>
        <w:jc w:val="both"/>
        <w:rPr>
          <w:rFonts w:asciiTheme="majorHAnsi" w:hAnsiTheme="majorHAnsi" w:cstheme="majorHAnsi"/>
          <w:sz w:val="24"/>
        </w:rPr>
      </w:pPr>
    </w:p>
    <w:p w14:paraId="440EBB7E" w14:textId="77777777" w:rsidR="00C03EC4" w:rsidRPr="002E75D4" w:rsidRDefault="00C03EC4" w:rsidP="00C03EC4">
      <w:pPr>
        <w:spacing w:before="120" w:after="120" w:line="240" w:lineRule="auto"/>
        <w:jc w:val="both"/>
        <w:rPr>
          <w:rFonts w:asciiTheme="majorHAnsi" w:hAnsiTheme="majorHAnsi" w:cstheme="majorHAnsi"/>
          <w:sz w:val="24"/>
        </w:rPr>
      </w:pPr>
    </w:p>
    <w:p w14:paraId="043BA84B" w14:textId="77777777" w:rsidR="00C03EC4" w:rsidRPr="002E75D4" w:rsidRDefault="00C03EC4" w:rsidP="00C03EC4">
      <w:pPr>
        <w:spacing w:before="120" w:after="120" w:line="240" w:lineRule="auto"/>
        <w:jc w:val="both"/>
        <w:rPr>
          <w:rFonts w:asciiTheme="majorHAnsi" w:hAnsiTheme="majorHAnsi" w:cstheme="majorHAnsi"/>
          <w:sz w:val="24"/>
        </w:rPr>
      </w:pPr>
    </w:p>
    <w:p w14:paraId="7FB3FEB6" w14:textId="77777777" w:rsidR="00C03EC4" w:rsidRPr="002E75D4" w:rsidRDefault="00C03EC4" w:rsidP="00C03EC4">
      <w:pPr>
        <w:spacing w:before="120" w:after="120" w:line="240" w:lineRule="auto"/>
        <w:jc w:val="both"/>
        <w:rPr>
          <w:rFonts w:asciiTheme="majorHAnsi" w:hAnsiTheme="majorHAnsi" w:cstheme="majorHAnsi"/>
          <w:sz w:val="24"/>
        </w:rPr>
      </w:pPr>
    </w:p>
    <w:p w14:paraId="373F9889" w14:textId="77777777" w:rsidR="00C03EC4" w:rsidRPr="002E75D4" w:rsidRDefault="00C03EC4" w:rsidP="00C03EC4">
      <w:pPr>
        <w:spacing w:before="120" w:after="120" w:line="240" w:lineRule="auto"/>
        <w:jc w:val="both"/>
        <w:rPr>
          <w:rFonts w:asciiTheme="majorHAnsi" w:hAnsiTheme="majorHAnsi" w:cstheme="majorHAnsi"/>
          <w:sz w:val="24"/>
        </w:rPr>
      </w:pPr>
    </w:p>
    <w:p w14:paraId="1DCB8288" w14:textId="77777777" w:rsidR="00C03EC4" w:rsidRDefault="00C03EC4" w:rsidP="00C03EC4">
      <w:pPr>
        <w:spacing w:before="120" w:after="120" w:line="240" w:lineRule="auto"/>
        <w:jc w:val="both"/>
        <w:rPr>
          <w:rFonts w:asciiTheme="majorHAnsi" w:hAnsiTheme="majorHAnsi" w:cstheme="majorHAnsi"/>
          <w:sz w:val="24"/>
        </w:rPr>
      </w:pPr>
    </w:p>
    <w:p w14:paraId="235B6F2E" w14:textId="77777777" w:rsidR="00C03EC4" w:rsidRDefault="00C03EC4" w:rsidP="00C03EC4">
      <w:pPr>
        <w:spacing w:before="120" w:after="120" w:line="240" w:lineRule="auto"/>
        <w:jc w:val="both"/>
        <w:rPr>
          <w:rFonts w:asciiTheme="majorHAnsi" w:hAnsiTheme="majorHAnsi" w:cstheme="majorHAnsi"/>
          <w:sz w:val="24"/>
        </w:rPr>
      </w:pPr>
    </w:p>
    <w:p w14:paraId="05C4EE0A" w14:textId="77777777" w:rsidR="00C03EC4" w:rsidRPr="002E75D4" w:rsidRDefault="00C03EC4" w:rsidP="00C03EC4">
      <w:pPr>
        <w:spacing w:before="120" w:after="120" w:line="240" w:lineRule="auto"/>
        <w:jc w:val="both"/>
        <w:rPr>
          <w:rFonts w:asciiTheme="majorHAnsi" w:hAnsiTheme="majorHAnsi" w:cstheme="majorHAnsi"/>
          <w:sz w:val="24"/>
        </w:rPr>
      </w:pPr>
    </w:p>
    <w:p w14:paraId="6EEC9D31" w14:textId="77777777" w:rsidR="00C03EC4" w:rsidRPr="002E75D4" w:rsidRDefault="00C03EC4" w:rsidP="00C03EC4">
      <w:pPr>
        <w:spacing w:before="120" w:after="120" w:line="240" w:lineRule="auto"/>
        <w:jc w:val="both"/>
        <w:rPr>
          <w:rFonts w:asciiTheme="majorHAnsi" w:hAnsiTheme="majorHAnsi" w:cstheme="majorHAnsi"/>
          <w:sz w:val="24"/>
        </w:rPr>
      </w:pPr>
    </w:p>
    <w:p w14:paraId="06575D69" w14:textId="77777777" w:rsidR="00C03EC4" w:rsidRPr="002E75D4" w:rsidRDefault="00C03EC4" w:rsidP="00C03EC4">
      <w:pPr>
        <w:spacing w:before="120" w:after="120" w:line="240" w:lineRule="auto"/>
        <w:jc w:val="both"/>
        <w:rPr>
          <w:rFonts w:asciiTheme="majorHAnsi" w:hAnsiTheme="majorHAnsi" w:cstheme="majorHAnsi"/>
          <w:sz w:val="24"/>
        </w:rPr>
      </w:pPr>
    </w:p>
    <w:p w14:paraId="60A73B51" w14:textId="77777777" w:rsidR="00C03EC4" w:rsidRPr="002E75D4" w:rsidRDefault="00C03EC4" w:rsidP="00C03EC4">
      <w:pPr>
        <w:spacing w:before="120" w:after="120" w:line="240" w:lineRule="auto"/>
        <w:jc w:val="both"/>
        <w:rPr>
          <w:rFonts w:asciiTheme="majorHAnsi" w:hAnsiTheme="majorHAnsi" w:cstheme="majorHAnsi"/>
          <w:sz w:val="24"/>
        </w:rPr>
      </w:pPr>
    </w:p>
    <w:p w14:paraId="0A9B78C8" w14:textId="77777777" w:rsidR="00C03EC4" w:rsidRPr="002E75D4" w:rsidRDefault="00C03EC4" w:rsidP="00C03EC4">
      <w:pPr>
        <w:spacing w:before="120" w:after="120" w:line="240" w:lineRule="auto"/>
        <w:jc w:val="both"/>
        <w:rPr>
          <w:rFonts w:asciiTheme="majorHAnsi" w:hAnsiTheme="majorHAnsi" w:cstheme="majorHAnsi"/>
          <w:sz w:val="24"/>
        </w:rPr>
      </w:pPr>
    </w:p>
    <w:p w14:paraId="097548C8" w14:textId="77777777" w:rsidR="00C03EC4" w:rsidRDefault="00C03EC4" w:rsidP="00C03EC4">
      <w:pPr>
        <w:spacing w:before="120" w:after="120" w:line="240" w:lineRule="auto"/>
        <w:jc w:val="both"/>
        <w:rPr>
          <w:rFonts w:asciiTheme="majorHAnsi" w:hAnsiTheme="majorHAnsi" w:cstheme="majorHAnsi"/>
          <w:sz w:val="24"/>
        </w:rPr>
      </w:pPr>
    </w:p>
    <w:p w14:paraId="7375D601" w14:textId="77777777" w:rsidR="00C03EC4" w:rsidRDefault="00C03EC4" w:rsidP="00C03EC4">
      <w:pPr>
        <w:spacing w:before="120" w:after="120" w:line="240" w:lineRule="auto"/>
        <w:jc w:val="both"/>
        <w:rPr>
          <w:rFonts w:asciiTheme="majorHAnsi" w:hAnsiTheme="majorHAnsi" w:cstheme="majorHAnsi"/>
          <w:sz w:val="24"/>
        </w:rPr>
      </w:pPr>
    </w:p>
    <w:p w14:paraId="0A9FCACB" w14:textId="77777777" w:rsidR="00C03EC4" w:rsidRPr="002E75D4" w:rsidRDefault="00C03EC4" w:rsidP="00C03EC4">
      <w:pPr>
        <w:spacing w:before="120" w:after="120" w:line="240" w:lineRule="auto"/>
        <w:jc w:val="both"/>
        <w:rPr>
          <w:rFonts w:asciiTheme="majorHAnsi" w:hAnsiTheme="majorHAnsi" w:cstheme="majorHAnsi"/>
          <w:sz w:val="24"/>
        </w:rPr>
      </w:pPr>
    </w:p>
    <w:p w14:paraId="2F338CE9" w14:textId="77777777" w:rsidR="00C03EC4" w:rsidRPr="00A021BD" w:rsidRDefault="00C03EC4" w:rsidP="00C03EC4">
      <w:pPr>
        <w:spacing w:before="120" w:after="120" w:line="240" w:lineRule="auto"/>
        <w:jc w:val="both"/>
        <w:rPr>
          <w:rFonts w:asciiTheme="majorHAnsi" w:hAnsiTheme="majorHAnsi" w:cstheme="majorHAnsi"/>
          <w:b/>
          <w:sz w:val="34"/>
          <w:szCs w:val="34"/>
        </w:rPr>
      </w:pPr>
      <w:r w:rsidRPr="00A021BD">
        <w:rPr>
          <w:rFonts w:asciiTheme="majorHAnsi" w:hAnsiTheme="majorHAnsi" w:cstheme="majorHAnsi"/>
          <w:b/>
          <w:sz w:val="34"/>
          <w:szCs w:val="34"/>
        </w:rPr>
        <w:t xml:space="preserve">5.1 POLITIQUES ET STRATEGIES NATIONALES </w:t>
      </w:r>
    </w:p>
    <w:p w14:paraId="67B1A534"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climat du Mali, de type sahélien, est caractérisé par une variabilité inter et intra annuelle des paramètres climatiques et par l’intensification des sécheresses depuis 1970. Cette situation est exacerbée par la fragilité des écosystèmes et des systèmes de production (agriculture, élevage, pêche, foresterie …) et par les besoins de la croissance démographique, rendant ainsi le pays très vulnérable et affaiblissant ses capacités d’adaptation.</w:t>
      </w:r>
    </w:p>
    <w:p w14:paraId="251B9E93"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Afin d’assurer un développement durable, des mesures d’adaptation aux changements climatiques s’imposent dans tous les secteurs du développement.</w:t>
      </w:r>
    </w:p>
    <w:p w14:paraId="2F9F2959"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C’est dans ce contexte que le Mali a développé plusieurs politiques, stratégies et plans d’action (tableau ci-dessous) intégrant les orientations nationales en matière d’adaptation </w:t>
      </w:r>
    </w:p>
    <w:p w14:paraId="0801FACD"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Ces programmes sont en cours de révision afin de développer le Plan National d’Adaptation (PNA) du Mali aux changements climatiques à l’horizon 2030 pour mieux orienter et coordonner les actions.</w:t>
      </w:r>
    </w:p>
    <w:p w14:paraId="4EFF382E"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301B0EE9"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1917BE17"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3EE429BC"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5221DFAC"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788EA32C"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1316B916"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69C73C42"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1B5FA3D1"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3F1C5BB9"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3DF79708"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5E69EB0A"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206AD65F"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3DAEB807"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72D6C340"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340D5EDE"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7FFD44C9"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p>
    <w:p w14:paraId="3244C091" w14:textId="77777777" w:rsidR="00C03EC4" w:rsidRDefault="00C03EC4" w:rsidP="00C03EC4">
      <w:pPr>
        <w:widowControl w:val="0"/>
        <w:autoSpaceDE w:val="0"/>
        <w:autoSpaceDN w:val="0"/>
        <w:adjustRightInd w:val="0"/>
        <w:spacing w:line="240" w:lineRule="auto"/>
        <w:jc w:val="both"/>
        <w:rPr>
          <w:rFonts w:asciiTheme="majorHAnsi" w:hAnsiTheme="majorHAnsi" w:cstheme="majorHAnsi"/>
          <w:bCs/>
          <w:sz w:val="24"/>
          <w:szCs w:val="24"/>
          <w:u w:val="single"/>
        </w:rPr>
      </w:pPr>
    </w:p>
    <w:p w14:paraId="129C43BC" w14:textId="77777777" w:rsidR="00C03EC4" w:rsidRDefault="00C03EC4" w:rsidP="00C03EC4">
      <w:pPr>
        <w:widowControl w:val="0"/>
        <w:autoSpaceDE w:val="0"/>
        <w:autoSpaceDN w:val="0"/>
        <w:adjustRightInd w:val="0"/>
        <w:spacing w:line="240" w:lineRule="auto"/>
        <w:jc w:val="both"/>
        <w:rPr>
          <w:rFonts w:asciiTheme="majorHAnsi" w:hAnsiTheme="majorHAnsi" w:cstheme="majorHAnsi"/>
          <w:bCs/>
          <w:sz w:val="24"/>
          <w:szCs w:val="24"/>
          <w:u w:val="single"/>
        </w:rPr>
      </w:pPr>
    </w:p>
    <w:p w14:paraId="0FDF3A99" w14:textId="77777777" w:rsidR="00C03EC4" w:rsidRDefault="00C03EC4" w:rsidP="00C03EC4">
      <w:pPr>
        <w:widowControl w:val="0"/>
        <w:autoSpaceDE w:val="0"/>
        <w:autoSpaceDN w:val="0"/>
        <w:adjustRightInd w:val="0"/>
        <w:spacing w:line="240" w:lineRule="auto"/>
        <w:jc w:val="both"/>
        <w:rPr>
          <w:rFonts w:asciiTheme="majorHAnsi" w:hAnsiTheme="majorHAnsi" w:cstheme="majorHAnsi"/>
          <w:b/>
          <w:bCs/>
          <w:sz w:val="24"/>
          <w:szCs w:val="24"/>
        </w:rPr>
      </w:pPr>
    </w:p>
    <w:p w14:paraId="01D7B503" w14:textId="77777777" w:rsidR="00C03EC4" w:rsidRPr="002E75D4" w:rsidRDefault="00C03EC4" w:rsidP="00C03EC4">
      <w:pPr>
        <w:widowControl w:val="0"/>
        <w:autoSpaceDE w:val="0"/>
        <w:autoSpaceDN w:val="0"/>
        <w:adjustRightInd w:val="0"/>
        <w:spacing w:line="240" w:lineRule="auto"/>
        <w:jc w:val="both"/>
        <w:rPr>
          <w:rFonts w:asciiTheme="majorHAnsi" w:hAnsiTheme="majorHAnsi" w:cstheme="majorHAnsi"/>
          <w:sz w:val="24"/>
          <w:szCs w:val="24"/>
        </w:rPr>
      </w:pPr>
      <w:r w:rsidRPr="00B13E5A">
        <w:rPr>
          <w:rFonts w:asciiTheme="majorHAnsi" w:hAnsiTheme="majorHAnsi" w:cstheme="majorHAnsi"/>
          <w:b/>
          <w:bCs/>
          <w:sz w:val="24"/>
          <w:szCs w:val="24"/>
          <w:u w:val="single"/>
        </w:rPr>
        <w:t>Tableau 18</w:t>
      </w:r>
      <w:r w:rsidRPr="002E75D4">
        <w:rPr>
          <w:rFonts w:asciiTheme="majorHAnsi" w:hAnsiTheme="majorHAnsi" w:cstheme="majorHAnsi"/>
          <w:b/>
          <w:bCs/>
          <w:sz w:val="24"/>
          <w:szCs w:val="24"/>
        </w:rPr>
        <w:t xml:space="preserve"> :</w:t>
      </w:r>
      <w:r w:rsidRPr="002E75D4">
        <w:rPr>
          <w:rFonts w:asciiTheme="majorHAnsi" w:hAnsiTheme="majorHAnsi" w:cstheme="majorHAnsi"/>
          <w:sz w:val="24"/>
          <w:szCs w:val="24"/>
        </w:rPr>
        <w:t xml:space="preserve"> Politiques et Stratégie</w:t>
      </w:r>
      <w:r w:rsidRPr="002E75D4">
        <w:rPr>
          <w:rFonts w:asciiTheme="majorHAnsi" w:hAnsiTheme="majorHAnsi" w:cstheme="majorHAnsi"/>
          <w:b/>
          <w:sz w:val="24"/>
          <w:szCs w:val="24"/>
        </w:rPr>
        <w:t>s nationales et leurs objectifs</w:t>
      </w:r>
    </w:p>
    <w:p w14:paraId="4B47D4C2" w14:textId="77777777" w:rsidR="00C03EC4" w:rsidRPr="002E75D4" w:rsidRDefault="00C03EC4" w:rsidP="00C03EC4">
      <w:pPr>
        <w:widowControl w:val="0"/>
        <w:autoSpaceDE w:val="0"/>
        <w:autoSpaceDN w:val="0"/>
        <w:adjustRightInd w:val="0"/>
        <w:spacing w:after="0" w:line="240" w:lineRule="auto"/>
        <w:ind w:right="851" w:firstLine="709"/>
        <w:jc w:val="both"/>
        <w:rPr>
          <w:rFonts w:asciiTheme="majorHAnsi" w:hAnsiTheme="majorHAnsi" w:cstheme="majorHAnsi"/>
          <w:sz w:val="24"/>
          <w:szCs w:val="24"/>
        </w:rPr>
      </w:pPr>
    </w:p>
    <w:tbl>
      <w:tblPr>
        <w:tblStyle w:val="Grillemoyenne3-Accent1"/>
        <w:tblW w:w="0" w:type="auto"/>
        <w:tblLook w:val="0420" w:firstRow="1" w:lastRow="0" w:firstColumn="0" w:lastColumn="0" w:noHBand="0" w:noVBand="1"/>
      </w:tblPr>
      <w:tblGrid>
        <w:gridCol w:w="3636"/>
        <w:gridCol w:w="5983"/>
      </w:tblGrid>
      <w:tr w:rsidR="00C03EC4" w:rsidRPr="002E75D4" w14:paraId="159185E6" w14:textId="77777777" w:rsidTr="000D6136">
        <w:trPr>
          <w:cnfStyle w:val="100000000000" w:firstRow="1" w:lastRow="0" w:firstColumn="0" w:lastColumn="0" w:oddVBand="0" w:evenVBand="0" w:oddHBand="0" w:evenHBand="0" w:firstRowFirstColumn="0" w:firstRowLastColumn="0" w:lastRowFirstColumn="0" w:lastRowLastColumn="0"/>
        </w:trPr>
        <w:tc>
          <w:tcPr>
            <w:tcW w:w="0" w:type="auto"/>
            <w:shd w:val="clear" w:color="auto" w:fill="002060"/>
          </w:tcPr>
          <w:p w14:paraId="1DB9F7D0" w14:textId="77777777" w:rsidR="00C03EC4" w:rsidRPr="002E75D4" w:rsidRDefault="00C03EC4" w:rsidP="000D6136">
            <w:pPr>
              <w:rPr>
                <w:rFonts w:asciiTheme="majorHAnsi" w:hAnsiTheme="majorHAnsi" w:cstheme="majorHAnsi"/>
                <w:b w:val="0"/>
                <w:color w:val="auto"/>
                <w:szCs w:val="24"/>
              </w:rPr>
            </w:pPr>
            <w:r w:rsidRPr="002E75D4">
              <w:rPr>
                <w:rFonts w:asciiTheme="majorHAnsi" w:hAnsiTheme="majorHAnsi" w:cstheme="majorHAnsi"/>
                <w:b w:val="0"/>
                <w:color w:val="auto"/>
                <w:szCs w:val="24"/>
              </w:rPr>
              <w:t>Politiques ou Stratégies</w:t>
            </w:r>
          </w:p>
        </w:tc>
        <w:tc>
          <w:tcPr>
            <w:tcW w:w="0" w:type="auto"/>
            <w:shd w:val="clear" w:color="auto" w:fill="BF8F00" w:themeFill="accent4" w:themeFillShade="BF"/>
          </w:tcPr>
          <w:p w14:paraId="0264AF2C" w14:textId="77777777" w:rsidR="00C03EC4" w:rsidRPr="002E75D4" w:rsidRDefault="00C03EC4" w:rsidP="000D6136">
            <w:pPr>
              <w:spacing w:before="240"/>
              <w:rPr>
                <w:rFonts w:asciiTheme="majorHAnsi" w:hAnsiTheme="majorHAnsi" w:cstheme="majorHAnsi"/>
                <w:b w:val="0"/>
                <w:color w:val="auto"/>
                <w:szCs w:val="24"/>
              </w:rPr>
            </w:pPr>
            <w:r w:rsidRPr="002E75D4">
              <w:rPr>
                <w:rFonts w:asciiTheme="majorHAnsi" w:hAnsiTheme="majorHAnsi" w:cstheme="majorHAnsi"/>
                <w:b w:val="0"/>
                <w:color w:val="auto"/>
                <w:szCs w:val="24"/>
              </w:rPr>
              <w:t>Objectifs</w:t>
            </w:r>
          </w:p>
          <w:p w14:paraId="6BA0DED5" w14:textId="77777777" w:rsidR="00C03EC4" w:rsidRPr="002E75D4" w:rsidRDefault="00C03EC4" w:rsidP="000D6136">
            <w:pPr>
              <w:rPr>
                <w:rFonts w:asciiTheme="majorHAnsi" w:hAnsiTheme="majorHAnsi" w:cstheme="majorHAnsi"/>
                <w:b w:val="0"/>
                <w:color w:val="auto"/>
                <w:szCs w:val="24"/>
              </w:rPr>
            </w:pPr>
          </w:p>
        </w:tc>
      </w:tr>
      <w:tr w:rsidR="00C03EC4" w:rsidRPr="002E75D4" w14:paraId="31809850"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tcPr>
          <w:p w14:paraId="0ACA7DFB"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Politique Nationale de Protection de l’Environnement</w:t>
            </w:r>
          </w:p>
        </w:tc>
        <w:tc>
          <w:tcPr>
            <w:tcW w:w="0" w:type="auto"/>
            <w:shd w:val="clear" w:color="auto" w:fill="FFE599" w:themeFill="accent4" w:themeFillTint="66"/>
          </w:tcPr>
          <w:p w14:paraId="154FCD38"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Assurer un environnement sain et un développement durable, combattre la désertification, assurer la sécurité alimentaire, prévenir et combattre la pollution et réduire la pauvreté.</w:t>
            </w:r>
          </w:p>
        </w:tc>
      </w:tr>
      <w:tr w:rsidR="00C03EC4" w:rsidRPr="002E75D4" w14:paraId="3DB973FB" w14:textId="77777777" w:rsidTr="000D6136">
        <w:tc>
          <w:tcPr>
            <w:tcW w:w="0" w:type="auto"/>
          </w:tcPr>
          <w:p w14:paraId="2D600D08"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Politique Nationale des changements climatiques, complétée par sa stratégie et son plan d’actions</w:t>
            </w:r>
          </w:p>
        </w:tc>
        <w:tc>
          <w:tcPr>
            <w:tcW w:w="0" w:type="auto"/>
            <w:shd w:val="clear" w:color="auto" w:fill="FFF2CC" w:themeFill="accent4" w:themeFillTint="33"/>
          </w:tcPr>
          <w:p w14:paraId="58E0A8D2"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Cadre de référence et de pilotage pour tous les projets et programmes mis en œuvre au Mali relatifs à la lutte contre les changements climatiques.</w:t>
            </w:r>
          </w:p>
        </w:tc>
      </w:tr>
      <w:tr w:rsidR="00C03EC4" w:rsidRPr="002E75D4" w14:paraId="2040DC34"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tcPr>
          <w:p w14:paraId="0EA3290C"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Politique Nationale Forestière</w:t>
            </w:r>
          </w:p>
        </w:tc>
        <w:tc>
          <w:tcPr>
            <w:tcW w:w="0" w:type="auto"/>
            <w:shd w:val="clear" w:color="auto" w:fill="FFE599" w:themeFill="accent4" w:themeFillTint="66"/>
          </w:tcPr>
          <w:p w14:paraId="246A6211"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Assurer une gestion intégrée et durable des ressources naturelles renouvelables : les forêts, la faune terrestre et aquatique, les ressources en terres et la biodiversité</w:t>
            </w:r>
          </w:p>
        </w:tc>
      </w:tr>
      <w:tr w:rsidR="00C03EC4" w:rsidRPr="002E75D4" w14:paraId="4A439AD5" w14:textId="77777777" w:rsidTr="000D6136">
        <w:tc>
          <w:tcPr>
            <w:tcW w:w="0" w:type="auto"/>
          </w:tcPr>
          <w:p w14:paraId="734C68F1"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Politique Nationale de l’Energie</w:t>
            </w:r>
          </w:p>
        </w:tc>
        <w:tc>
          <w:tcPr>
            <w:tcW w:w="0" w:type="auto"/>
            <w:shd w:val="clear" w:color="auto" w:fill="FFF2CC" w:themeFill="accent4" w:themeFillTint="33"/>
          </w:tcPr>
          <w:p w14:paraId="5562CC47"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w w:val="99"/>
                <w:szCs w:val="24"/>
              </w:rPr>
              <w:t>Contribuer au développement durable du pays, à travers la fourniture des services énergétiques accessibles au plus grand nombre de la population au moindre coût et favorisant la promotion des activités socioéconomiques</w:t>
            </w:r>
          </w:p>
        </w:tc>
      </w:tr>
      <w:tr w:rsidR="00C03EC4" w:rsidRPr="002E75D4" w14:paraId="06D0CF03"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tcPr>
          <w:p w14:paraId="1E97AB75" w14:textId="77777777" w:rsidR="00C03EC4" w:rsidRPr="002E75D4" w:rsidRDefault="00C03EC4" w:rsidP="000D6136">
            <w:pPr>
              <w:jc w:val="left"/>
              <w:rPr>
                <w:rFonts w:asciiTheme="majorHAnsi" w:eastAsia="Calibri" w:hAnsiTheme="majorHAnsi" w:cstheme="majorHAnsi"/>
                <w:szCs w:val="24"/>
              </w:rPr>
            </w:pPr>
            <w:r w:rsidRPr="002E75D4">
              <w:rPr>
                <w:rFonts w:asciiTheme="majorHAnsi" w:hAnsiTheme="majorHAnsi" w:cstheme="majorHAnsi"/>
                <w:szCs w:val="24"/>
              </w:rPr>
              <w:t>Politique Nationale d’Agriculture (PDA)</w:t>
            </w:r>
          </w:p>
        </w:tc>
        <w:tc>
          <w:tcPr>
            <w:tcW w:w="0" w:type="auto"/>
            <w:shd w:val="clear" w:color="auto" w:fill="FFE599" w:themeFill="accent4" w:themeFillTint="66"/>
          </w:tcPr>
          <w:p w14:paraId="3B996552"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Promouvoir une agriculture durable, moderne et compétitive reposant prioritairement sur les exploitations familiales</w:t>
            </w:r>
          </w:p>
        </w:tc>
      </w:tr>
      <w:tr w:rsidR="00C03EC4" w:rsidRPr="002E75D4" w14:paraId="73B6AB89" w14:textId="77777777" w:rsidTr="000D6136">
        <w:tc>
          <w:tcPr>
            <w:tcW w:w="0" w:type="auto"/>
          </w:tcPr>
          <w:p w14:paraId="13A25FDD"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Politique Nationale de l’Eau</w:t>
            </w:r>
          </w:p>
        </w:tc>
        <w:tc>
          <w:tcPr>
            <w:tcW w:w="0" w:type="auto"/>
            <w:shd w:val="clear" w:color="auto" w:fill="FFF2CC" w:themeFill="accent4" w:themeFillTint="33"/>
          </w:tcPr>
          <w:p w14:paraId="5744567C"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Contribuer à la lutte contre la pauvreté et au développement durable en apportant des solutions appropriées aux problèmes liés à l’eau</w:t>
            </w:r>
          </w:p>
        </w:tc>
      </w:tr>
      <w:tr w:rsidR="00C03EC4" w:rsidRPr="002E75D4" w14:paraId="378B5063"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tcPr>
          <w:p w14:paraId="41DF9477" w14:textId="77777777" w:rsidR="00C03EC4" w:rsidRPr="002E75D4" w:rsidRDefault="00C03EC4" w:rsidP="000D6136">
            <w:pPr>
              <w:jc w:val="left"/>
              <w:rPr>
                <w:rFonts w:asciiTheme="majorHAnsi" w:eastAsia="Calibri" w:hAnsiTheme="majorHAnsi" w:cstheme="majorHAnsi"/>
                <w:szCs w:val="24"/>
              </w:rPr>
            </w:pPr>
            <w:r w:rsidRPr="002E75D4">
              <w:rPr>
                <w:rFonts w:asciiTheme="majorHAnsi" w:hAnsiTheme="majorHAnsi" w:cstheme="majorHAnsi"/>
                <w:szCs w:val="24"/>
              </w:rPr>
              <w:t>Politique Nationale d’Assainissement</w:t>
            </w:r>
          </w:p>
        </w:tc>
        <w:tc>
          <w:tcPr>
            <w:tcW w:w="0" w:type="auto"/>
            <w:shd w:val="clear" w:color="auto" w:fill="FFE599" w:themeFill="accent4" w:themeFillTint="66"/>
          </w:tcPr>
          <w:p w14:paraId="394F7013"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Structurer l’ensemble du secteur de l’assainissement autour d’un projet de développement réaliste.</w:t>
            </w:r>
          </w:p>
        </w:tc>
      </w:tr>
      <w:tr w:rsidR="00C03EC4" w:rsidRPr="002E75D4" w14:paraId="739BD7A1" w14:textId="77777777" w:rsidTr="000D6136">
        <w:tc>
          <w:tcPr>
            <w:tcW w:w="0" w:type="auto"/>
          </w:tcPr>
          <w:p w14:paraId="7697A461"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rPr>
              <w:t>Politique Nationale d’Aménagement du Territoire</w:t>
            </w:r>
          </w:p>
        </w:tc>
        <w:tc>
          <w:tcPr>
            <w:tcW w:w="0" w:type="auto"/>
            <w:shd w:val="clear" w:color="auto" w:fill="FFF2CC" w:themeFill="accent4" w:themeFillTint="33"/>
          </w:tcPr>
          <w:p w14:paraId="328A02D8"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rPr>
              <w:t>Conférer à la planification du développement économique une dimension territoriale, dans le cadre d’une organisation de l’espace prenant en compte la décentralisation.</w:t>
            </w:r>
          </w:p>
        </w:tc>
      </w:tr>
      <w:tr w:rsidR="00C03EC4" w:rsidRPr="002E75D4" w14:paraId="4289E6B3"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tcPr>
          <w:p w14:paraId="3CAC4069"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rPr>
              <w:t>Politique Nationale de la Décentralisation</w:t>
            </w:r>
          </w:p>
        </w:tc>
        <w:tc>
          <w:tcPr>
            <w:tcW w:w="0" w:type="auto"/>
            <w:shd w:val="clear" w:color="auto" w:fill="FFE599" w:themeFill="accent4" w:themeFillTint="66"/>
          </w:tcPr>
          <w:p w14:paraId="372FDEFA"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rPr>
              <w:t>Renforcer le processus de démocratisation de la société et adapter les missions et l’organisation de l’Etat à l’exigence de promotion des initiatives locales</w:t>
            </w:r>
          </w:p>
        </w:tc>
      </w:tr>
      <w:tr w:rsidR="00C03EC4" w:rsidRPr="002E75D4" w14:paraId="665F59B6" w14:textId="77777777" w:rsidTr="000D6136">
        <w:tc>
          <w:tcPr>
            <w:tcW w:w="0" w:type="auto"/>
          </w:tcPr>
          <w:p w14:paraId="3F643E9D"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rPr>
              <w:t>Cadre stratégique d’investissement pour la Gestion Durable des Terres</w:t>
            </w:r>
          </w:p>
        </w:tc>
        <w:tc>
          <w:tcPr>
            <w:tcW w:w="0" w:type="auto"/>
            <w:shd w:val="clear" w:color="auto" w:fill="FFF2CC" w:themeFill="accent4" w:themeFillTint="33"/>
          </w:tcPr>
          <w:p w14:paraId="03C2E1DC"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rPr>
              <w:t>Inverser les tendances à la dégradation des terres pour assurer la sécurité alimentaire, réduire la pauvreté et la vulnérabilité</w:t>
            </w:r>
          </w:p>
        </w:tc>
      </w:tr>
      <w:tr w:rsidR="00C03EC4" w:rsidRPr="002E75D4" w14:paraId="2D3E8DED"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tcPr>
          <w:p w14:paraId="73017C12" w14:textId="77777777" w:rsidR="00C03EC4" w:rsidRPr="002E75D4" w:rsidRDefault="00C03EC4" w:rsidP="000D6136">
            <w:pPr>
              <w:jc w:val="left"/>
              <w:rPr>
                <w:rFonts w:asciiTheme="majorHAnsi" w:hAnsiTheme="majorHAnsi" w:cstheme="majorHAnsi"/>
                <w:szCs w:val="24"/>
              </w:rPr>
            </w:pPr>
            <w:r w:rsidRPr="002E75D4">
              <w:rPr>
                <w:rFonts w:asciiTheme="majorHAnsi" w:eastAsia="Calibri" w:hAnsiTheme="majorHAnsi" w:cstheme="majorHAnsi"/>
                <w:szCs w:val="24"/>
              </w:rPr>
              <w:t>Stratégie nationale d’adaptation du secteur de la foresterie du Mali aux impacts des changements climatiques</w:t>
            </w:r>
          </w:p>
        </w:tc>
        <w:tc>
          <w:tcPr>
            <w:tcW w:w="0" w:type="auto"/>
            <w:shd w:val="clear" w:color="auto" w:fill="FFE599" w:themeFill="accent4" w:themeFillTint="66"/>
          </w:tcPr>
          <w:p w14:paraId="1B01C064"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 xml:space="preserve">Anticiper les impacts potentiels des </w:t>
            </w:r>
            <w:r w:rsidRPr="002E75D4">
              <w:rPr>
                <w:rFonts w:asciiTheme="majorHAnsi" w:eastAsia="Calibri" w:hAnsiTheme="majorHAnsi" w:cstheme="majorHAnsi"/>
                <w:szCs w:val="24"/>
              </w:rPr>
              <w:t>changements climatiques</w:t>
            </w:r>
            <w:r w:rsidRPr="002E75D4">
              <w:rPr>
                <w:rFonts w:asciiTheme="majorHAnsi" w:hAnsiTheme="majorHAnsi" w:cstheme="majorHAnsi"/>
                <w:szCs w:val="24"/>
              </w:rPr>
              <w:t xml:space="preserve"> sur le secteur de la foresterie au Mali et analyser les vulnérabilités</w:t>
            </w:r>
          </w:p>
        </w:tc>
      </w:tr>
      <w:tr w:rsidR="00C03EC4" w:rsidRPr="002E75D4" w14:paraId="7C5E4C22" w14:textId="77777777" w:rsidTr="000D6136">
        <w:tc>
          <w:tcPr>
            <w:tcW w:w="0" w:type="auto"/>
          </w:tcPr>
          <w:p w14:paraId="53D78F85" w14:textId="77777777" w:rsidR="00C03EC4" w:rsidRPr="002E75D4" w:rsidRDefault="00C03EC4" w:rsidP="000D6136">
            <w:pPr>
              <w:jc w:val="left"/>
              <w:rPr>
                <w:rFonts w:asciiTheme="majorHAnsi" w:eastAsia="Calibri" w:hAnsiTheme="majorHAnsi" w:cstheme="majorHAnsi"/>
                <w:szCs w:val="24"/>
              </w:rPr>
            </w:pPr>
            <w:r w:rsidRPr="002E75D4">
              <w:rPr>
                <w:rFonts w:asciiTheme="majorHAnsi" w:hAnsiTheme="majorHAnsi" w:cstheme="majorHAnsi"/>
                <w:szCs w:val="24"/>
              </w:rPr>
              <w:t>Stratégie de Développement des Energies renouvelables</w:t>
            </w:r>
          </w:p>
        </w:tc>
        <w:tc>
          <w:tcPr>
            <w:tcW w:w="0" w:type="auto"/>
            <w:shd w:val="clear" w:color="auto" w:fill="FFF2CC" w:themeFill="accent4" w:themeFillTint="33"/>
          </w:tcPr>
          <w:p w14:paraId="0FA9B3AA"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Promouvoir une large utilisation des technologies et équipements d’Énergie Renouvelable</w:t>
            </w:r>
          </w:p>
        </w:tc>
      </w:tr>
      <w:tr w:rsidR="00C03EC4" w:rsidRPr="002E75D4" w14:paraId="5661F153"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tcPr>
          <w:p w14:paraId="489BAA37"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Stratégie nationale pour le développement des biocarburants</w:t>
            </w:r>
          </w:p>
        </w:tc>
        <w:tc>
          <w:tcPr>
            <w:tcW w:w="0" w:type="auto"/>
            <w:shd w:val="clear" w:color="auto" w:fill="FFE599" w:themeFill="accent4" w:themeFillTint="66"/>
          </w:tcPr>
          <w:p w14:paraId="16DDCF2F"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Accroitre la production locale d’énergie à moindre coût par le développement des biocarburants.</w:t>
            </w:r>
          </w:p>
        </w:tc>
      </w:tr>
      <w:tr w:rsidR="00C03EC4" w:rsidRPr="002E75D4" w14:paraId="341F2ABF" w14:textId="77777777" w:rsidTr="000D6136">
        <w:tc>
          <w:tcPr>
            <w:tcW w:w="0" w:type="auto"/>
          </w:tcPr>
          <w:p w14:paraId="0673E049"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Politique Nationale de la population</w:t>
            </w:r>
          </w:p>
        </w:tc>
        <w:tc>
          <w:tcPr>
            <w:tcW w:w="0" w:type="auto"/>
            <w:shd w:val="clear" w:color="auto" w:fill="FFF2CC" w:themeFill="accent4" w:themeFillTint="33"/>
          </w:tcPr>
          <w:p w14:paraId="26700FE9"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Maitriser et gérer l’évolution de la population du Mali</w:t>
            </w:r>
          </w:p>
        </w:tc>
      </w:tr>
      <w:tr w:rsidR="00C03EC4" w:rsidRPr="002E75D4" w14:paraId="18A8EE8E" w14:textId="77777777" w:rsidTr="000D6136">
        <w:trPr>
          <w:cnfStyle w:val="000000100000" w:firstRow="0" w:lastRow="0" w:firstColumn="0" w:lastColumn="0" w:oddVBand="0" w:evenVBand="0" w:oddHBand="1" w:evenHBand="0" w:firstRowFirstColumn="0" w:firstRowLastColumn="0" w:lastRowFirstColumn="0" w:lastRowLastColumn="0"/>
        </w:trPr>
        <w:tc>
          <w:tcPr>
            <w:tcW w:w="0" w:type="auto"/>
          </w:tcPr>
          <w:p w14:paraId="2AB7B7B5"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Politique Nationale du Genre</w:t>
            </w:r>
          </w:p>
        </w:tc>
        <w:tc>
          <w:tcPr>
            <w:tcW w:w="0" w:type="auto"/>
            <w:shd w:val="clear" w:color="auto" w:fill="FFE599" w:themeFill="accent4" w:themeFillTint="66"/>
          </w:tcPr>
          <w:p w14:paraId="650F57D2"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Amélioration de l’implication des femmes dans le processus de gestion du pays</w:t>
            </w:r>
          </w:p>
        </w:tc>
      </w:tr>
      <w:tr w:rsidR="00C03EC4" w:rsidRPr="002E75D4" w14:paraId="0798991A" w14:textId="77777777" w:rsidTr="000D6136">
        <w:tc>
          <w:tcPr>
            <w:tcW w:w="0" w:type="auto"/>
          </w:tcPr>
          <w:p w14:paraId="23D47A34"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Politique nationale des transports</w:t>
            </w:r>
          </w:p>
        </w:tc>
        <w:tc>
          <w:tcPr>
            <w:tcW w:w="0" w:type="auto"/>
            <w:shd w:val="clear" w:color="auto" w:fill="FFF2CC" w:themeFill="accent4" w:themeFillTint="33"/>
          </w:tcPr>
          <w:p w14:paraId="2960F4B5" w14:textId="77777777" w:rsidR="00C03EC4" w:rsidRPr="002E75D4" w:rsidRDefault="00C03EC4" w:rsidP="000D6136">
            <w:pPr>
              <w:jc w:val="left"/>
              <w:rPr>
                <w:rFonts w:asciiTheme="majorHAnsi" w:hAnsiTheme="majorHAnsi" w:cstheme="majorHAnsi"/>
                <w:szCs w:val="24"/>
              </w:rPr>
            </w:pPr>
            <w:r w:rsidRPr="002E75D4">
              <w:rPr>
                <w:rFonts w:asciiTheme="majorHAnsi" w:hAnsiTheme="majorHAnsi" w:cstheme="majorHAnsi"/>
                <w:szCs w:val="24"/>
              </w:rPr>
              <w:t>Améliorer des systèmes de transport au Mali pour assurer un désenclavement adéquat du pays</w:t>
            </w:r>
          </w:p>
        </w:tc>
      </w:tr>
    </w:tbl>
    <w:p w14:paraId="043629A7" w14:textId="77777777" w:rsidR="00C03EC4" w:rsidRPr="002E75D4" w:rsidRDefault="00C03EC4" w:rsidP="00C03EC4">
      <w:pPr>
        <w:spacing w:after="120" w:line="240" w:lineRule="auto"/>
        <w:jc w:val="both"/>
        <w:rPr>
          <w:rFonts w:asciiTheme="majorHAnsi" w:hAnsiTheme="majorHAnsi" w:cstheme="majorHAnsi"/>
          <w:sz w:val="24"/>
          <w:szCs w:val="24"/>
        </w:rPr>
      </w:pPr>
    </w:p>
    <w:p w14:paraId="2CE8AFC7"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bCs/>
          <w:sz w:val="24"/>
          <w:szCs w:val="24"/>
        </w:rPr>
        <w:t>Le rôle de l’eau est particulièrement important car l’eau est un secteur transversal qui concerne l’ensemble des secteurs de la CDN dont il est un constituant majeur</w:t>
      </w:r>
      <w:r w:rsidRPr="002E75D4">
        <w:rPr>
          <w:rFonts w:asciiTheme="majorHAnsi" w:hAnsiTheme="majorHAnsi" w:cstheme="majorHAnsi"/>
          <w:sz w:val="24"/>
          <w:szCs w:val="24"/>
        </w:rPr>
        <w:t> : l’énergie en tant que force motrice, l’agriculture et la forêt dont il est un constituant de base avec les sols et le climat, et les déchets en tant que vecteur des mécanismes d’assainissement. L’eau est présente dans toutes les initiatives de développement et d’adaptation aux changements climatiques.</w:t>
      </w:r>
    </w:p>
    <w:p w14:paraId="75AC4366" w14:textId="77777777" w:rsidR="00C03EC4" w:rsidRPr="002E75D4" w:rsidRDefault="00C03EC4" w:rsidP="00C03EC4">
      <w:pPr>
        <w:spacing w:after="0" w:line="240" w:lineRule="auto"/>
        <w:ind w:right="-426"/>
        <w:jc w:val="both"/>
        <w:rPr>
          <w:rFonts w:asciiTheme="majorHAnsi" w:hAnsiTheme="majorHAnsi" w:cstheme="majorHAnsi"/>
          <w:sz w:val="24"/>
          <w:szCs w:val="24"/>
        </w:rPr>
      </w:pPr>
      <w:r w:rsidRPr="002E75D4">
        <w:rPr>
          <w:rFonts w:asciiTheme="majorHAnsi" w:hAnsiTheme="majorHAnsi" w:cstheme="majorHAnsi"/>
          <w:sz w:val="24"/>
          <w:szCs w:val="24"/>
        </w:rPr>
        <w:t>Cela rend nécessaire une gestion intégrée de la ressource eau que le Mali met en œuvre avec un mécanisme de gestion intégré des ressources en eau, la GIRE.</w:t>
      </w:r>
    </w:p>
    <w:p w14:paraId="6CA2A5A6" w14:textId="77777777" w:rsidR="00C03EC4" w:rsidRPr="002E75D4" w:rsidRDefault="00C03EC4" w:rsidP="00C03EC4">
      <w:pPr>
        <w:spacing w:after="0"/>
        <w:jc w:val="both"/>
        <w:rPr>
          <w:rFonts w:asciiTheme="majorHAnsi" w:hAnsiTheme="majorHAnsi" w:cstheme="majorHAnsi"/>
          <w:sz w:val="24"/>
          <w:szCs w:val="24"/>
        </w:rPr>
      </w:pPr>
    </w:p>
    <w:p w14:paraId="36B9CC6A" w14:textId="77777777" w:rsidR="00C03EC4" w:rsidRPr="00A021BD" w:rsidRDefault="00C03EC4" w:rsidP="00C03EC4">
      <w:pPr>
        <w:spacing w:after="0"/>
        <w:jc w:val="both"/>
        <w:rPr>
          <w:rFonts w:asciiTheme="majorHAnsi" w:hAnsiTheme="majorHAnsi" w:cstheme="majorHAnsi"/>
          <w:b/>
          <w:sz w:val="34"/>
          <w:szCs w:val="34"/>
        </w:rPr>
      </w:pPr>
      <w:r w:rsidRPr="00A021BD">
        <w:rPr>
          <w:rFonts w:asciiTheme="majorHAnsi" w:hAnsiTheme="majorHAnsi" w:cstheme="majorHAnsi"/>
          <w:b/>
          <w:sz w:val="34"/>
          <w:szCs w:val="34"/>
        </w:rPr>
        <w:t xml:space="preserve">5.2 CRITERES DE SELECTION DES PROJETS D’ADAPTATION </w:t>
      </w:r>
    </w:p>
    <w:p w14:paraId="10E3C2C5" w14:textId="77777777" w:rsidR="00C03EC4" w:rsidRPr="002E75D4" w:rsidRDefault="00C03EC4" w:rsidP="00C03EC4">
      <w:pPr>
        <w:spacing w:before="240" w:line="240" w:lineRule="auto"/>
        <w:jc w:val="both"/>
        <w:rPr>
          <w:rFonts w:asciiTheme="majorHAnsi" w:hAnsiTheme="majorHAnsi" w:cstheme="majorHAnsi"/>
          <w:sz w:val="24"/>
          <w:szCs w:val="24"/>
        </w:rPr>
      </w:pPr>
      <w:r w:rsidRPr="002E75D4">
        <w:rPr>
          <w:rFonts w:asciiTheme="majorHAnsi" w:hAnsiTheme="majorHAnsi" w:cstheme="majorHAnsi"/>
          <w:sz w:val="24"/>
          <w:szCs w:val="24"/>
        </w:rPr>
        <w:t>L’adaptation reste la priorité des pays en développement et plus particulièrement des pays d’Afrique les moins avancés dont le Mali, qui sont plus vulnérables aux effets et risques des changements climatiques comme le stipulent les articles 4, 5 et 9 de la convention et les articles 7, 9, 11 et 18 de l’accord de Paris.</w:t>
      </w:r>
    </w:p>
    <w:p w14:paraId="0CB3C541"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Le degré de vulnérabilité des régions, cercles et communes face aux changements climatiques est un facteur important à prendre en compte. De même que la croissance de la population et la sensibilité du genre, la disponibilité des données climatiques et les capacités techniques et financières disponibles pour y faire face.</w:t>
      </w:r>
    </w:p>
    <w:p w14:paraId="67A2FF3D" w14:textId="77777777" w:rsidR="00C03EC4" w:rsidRPr="00A021BD" w:rsidRDefault="00C03EC4" w:rsidP="00C03EC4">
      <w:pPr>
        <w:jc w:val="both"/>
        <w:rPr>
          <w:rFonts w:asciiTheme="majorHAnsi" w:hAnsiTheme="majorHAnsi" w:cstheme="majorHAnsi"/>
          <w:sz w:val="24"/>
          <w:szCs w:val="24"/>
        </w:rPr>
      </w:pPr>
      <w:r w:rsidRPr="00A021BD">
        <w:rPr>
          <w:rFonts w:asciiTheme="majorHAnsi" w:hAnsiTheme="majorHAnsi" w:cstheme="majorHAnsi"/>
          <w:sz w:val="24"/>
          <w:szCs w:val="24"/>
        </w:rPr>
        <w:t>Les critères de choix des projets sont les suivants :</w:t>
      </w:r>
    </w:p>
    <w:p w14:paraId="7326C2F0" w14:textId="77777777" w:rsidR="00C03EC4" w:rsidRPr="002E75D4" w:rsidRDefault="00C03EC4" w:rsidP="00C03EC4">
      <w:pPr>
        <w:pStyle w:val="Paragraphedeliste"/>
        <w:numPr>
          <w:ilvl w:val="0"/>
          <w:numId w:val="51"/>
        </w:numPr>
        <w:jc w:val="both"/>
        <w:rPr>
          <w:rFonts w:asciiTheme="majorHAnsi" w:hAnsiTheme="majorHAnsi" w:cstheme="majorHAnsi"/>
          <w:sz w:val="24"/>
          <w:szCs w:val="24"/>
        </w:rPr>
      </w:pPr>
      <w:r w:rsidRPr="002E75D4">
        <w:rPr>
          <w:rFonts w:asciiTheme="majorHAnsi" w:hAnsiTheme="majorHAnsi" w:cstheme="majorHAnsi"/>
          <w:sz w:val="24"/>
          <w:szCs w:val="24"/>
        </w:rPr>
        <w:t>Prise en compte des visions, politiques, stratégies nationales et plans d’actions relatifs aux changements climatiques référence à la mise en œuvre du CREDD et des Objectifs de Développement Durable (ODD) ;</w:t>
      </w:r>
    </w:p>
    <w:p w14:paraId="31117417" w14:textId="77777777" w:rsidR="00C03EC4" w:rsidRPr="002E75D4" w:rsidRDefault="00C03EC4" w:rsidP="00C03EC4">
      <w:pPr>
        <w:pStyle w:val="Paragraphedeliste"/>
        <w:numPr>
          <w:ilvl w:val="0"/>
          <w:numId w:val="51"/>
        </w:num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Prise en compte des résultats de l’étude de renforcement des capacités pour mieux orienter et coordonner les actions futures du processus de la CDN ;</w:t>
      </w:r>
    </w:p>
    <w:p w14:paraId="059F566C" w14:textId="77777777" w:rsidR="00C03EC4" w:rsidRPr="002E75D4" w:rsidRDefault="00C03EC4" w:rsidP="00C03EC4">
      <w:pPr>
        <w:pStyle w:val="Paragraphedeliste"/>
        <w:numPr>
          <w:ilvl w:val="0"/>
          <w:numId w:val="51"/>
        </w:numPr>
        <w:jc w:val="both"/>
        <w:rPr>
          <w:rFonts w:asciiTheme="majorHAnsi" w:hAnsiTheme="majorHAnsi" w:cstheme="majorHAnsi"/>
          <w:sz w:val="24"/>
          <w:szCs w:val="24"/>
        </w:rPr>
      </w:pPr>
      <w:r w:rsidRPr="002E75D4">
        <w:rPr>
          <w:rFonts w:asciiTheme="majorHAnsi" w:hAnsiTheme="majorHAnsi" w:cstheme="majorHAnsi"/>
          <w:sz w:val="24"/>
          <w:szCs w:val="24"/>
        </w:rPr>
        <w:t>Critères relatifs à la protection de l’environnement et à la réduction de la vulnérabilité de la population aux changements climatiques à l’échelle des écosystèmes ;</w:t>
      </w:r>
    </w:p>
    <w:p w14:paraId="4CC32C53" w14:textId="77777777" w:rsidR="00C03EC4" w:rsidRPr="002E75D4" w:rsidRDefault="00C03EC4" w:rsidP="00C03EC4">
      <w:pPr>
        <w:pStyle w:val="Paragraphedeliste"/>
        <w:numPr>
          <w:ilvl w:val="0"/>
          <w:numId w:val="51"/>
        </w:numPr>
        <w:jc w:val="both"/>
        <w:rPr>
          <w:rFonts w:asciiTheme="majorHAnsi" w:hAnsiTheme="majorHAnsi" w:cstheme="majorHAnsi"/>
          <w:sz w:val="24"/>
          <w:szCs w:val="24"/>
        </w:rPr>
      </w:pPr>
      <w:r w:rsidRPr="002E75D4">
        <w:rPr>
          <w:rFonts w:asciiTheme="majorHAnsi" w:hAnsiTheme="majorHAnsi" w:cstheme="majorHAnsi"/>
          <w:sz w:val="24"/>
          <w:szCs w:val="24"/>
        </w:rPr>
        <w:t xml:space="preserve">Analyse des potentialités d’accessibilité à la mobilisation des ressources financières pour le financement adéquat des projets. </w:t>
      </w:r>
    </w:p>
    <w:p w14:paraId="768843BE" w14:textId="77777777" w:rsidR="00C03EC4" w:rsidRPr="005F51BC" w:rsidRDefault="00C03EC4" w:rsidP="00C03EC4">
      <w:pPr>
        <w:spacing w:line="240" w:lineRule="auto"/>
        <w:jc w:val="both"/>
        <w:rPr>
          <w:rFonts w:asciiTheme="majorHAnsi" w:hAnsiTheme="majorHAnsi" w:cstheme="majorHAnsi"/>
          <w:b/>
          <w:sz w:val="36"/>
          <w:szCs w:val="36"/>
        </w:rPr>
      </w:pPr>
      <w:r w:rsidRPr="005F51BC">
        <w:rPr>
          <w:rFonts w:asciiTheme="majorHAnsi" w:hAnsiTheme="majorHAnsi" w:cstheme="majorHAnsi"/>
          <w:b/>
          <w:sz w:val="36"/>
          <w:szCs w:val="36"/>
        </w:rPr>
        <w:t>5.3</w:t>
      </w:r>
      <w:r>
        <w:rPr>
          <w:rFonts w:asciiTheme="majorHAnsi" w:hAnsiTheme="majorHAnsi" w:cstheme="majorHAnsi"/>
          <w:b/>
          <w:sz w:val="36"/>
          <w:szCs w:val="36"/>
        </w:rPr>
        <w:t xml:space="preserve"> </w:t>
      </w:r>
      <w:r w:rsidRPr="005F51BC">
        <w:rPr>
          <w:rFonts w:asciiTheme="majorHAnsi" w:hAnsiTheme="majorHAnsi" w:cstheme="majorHAnsi"/>
          <w:b/>
          <w:sz w:val="36"/>
          <w:szCs w:val="36"/>
        </w:rPr>
        <w:t>PREVISIONS DE PROJETS EN ADAPTATION POUR LA PERIODE 2020-2030</w:t>
      </w:r>
    </w:p>
    <w:p w14:paraId="649BB6D3" w14:textId="77777777" w:rsidR="00C03EC4" w:rsidRPr="002E75D4" w:rsidRDefault="00C03EC4" w:rsidP="00C03EC4">
      <w:pPr>
        <w:pStyle w:val="Paragraphedeliste"/>
        <w:spacing w:before="120" w:after="0" w:line="240" w:lineRule="auto"/>
        <w:ind w:left="0"/>
        <w:jc w:val="both"/>
        <w:rPr>
          <w:rFonts w:asciiTheme="majorHAnsi" w:eastAsia="Calibri" w:hAnsiTheme="majorHAnsi" w:cstheme="majorHAnsi"/>
          <w:sz w:val="24"/>
          <w:szCs w:val="24"/>
          <w:lang w:eastAsia="en-US"/>
        </w:rPr>
      </w:pPr>
      <w:r w:rsidRPr="002E75D4">
        <w:rPr>
          <w:rFonts w:asciiTheme="majorHAnsi" w:eastAsia="Calibri" w:hAnsiTheme="majorHAnsi" w:cstheme="majorHAnsi"/>
          <w:sz w:val="24"/>
          <w:szCs w:val="24"/>
          <w:lang w:eastAsia="en-US"/>
        </w:rPr>
        <w:t>La vision du Mali est de faire de l’économie verte et résiliente aux changements climatiques une priorité mais aussi une réalité. Les actions d’adaptation restent très importantes et cruciales pour les années à venir dans la lutte contre les changements climatiques.</w:t>
      </w:r>
    </w:p>
    <w:p w14:paraId="44C19E95" w14:textId="77777777" w:rsidR="00C03EC4" w:rsidRPr="002E75D4" w:rsidRDefault="00C03EC4" w:rsidP="00C03EC4">
      <w:pPr>
        <w:pStyle w:val="Paragraphedeliste"/>
        <w:spacing w:before="120" w:after="0" w:line="240" w:lineRule="auto"/>
        <w:ind w:left="0"/>
        <w:jc w:val="both"/>
        <w:rPr>
          <w:rFonts w:asciiTheme="majorHAnsi" w:eastAsia="Calibri" w:hAnsiTheme="majorHAnsi" w:cstheme="majorHAnsi"/>
          <w:sz w:val="24"/>
          <w:szCs w:val="24"/>
          <w:lang w:eastAsia="en-US"/>
        </w:rPr>
      </w:pPr>
    </w:p>
    <w:p w14:paraId="52EDA37A"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eastAsia="Calibri" w:hAnsiTheme="majorHAnsi" w:cstheme="majorHAnsi"/>
          <w:sz w:val="24"/>
          <w:szCs w:val="24"/>
        </w:rPr>
        <w:t>L</w:t>
      </w:r>
      <w:r w:rsidRPr="002E75D4">
        <w:rPr>
          <w:rFonts w:asciiTheme="majorHAnsi" w:hAnsiTheme="majorHAnsi" w:cstheme="majorHAnsi"/>
          <w:sz w:val="24"/>
          <w:szCs w:val="24"/>
        </w:rPr>
        <w:t>a mise en œuvre des politiques, stratégies, plans et programmes en matière d’adaptation au Mali s’effectue à travers des programmes et projets suivants :</w:t>
      </w:r>
    </w:p>
    <w:p w14:paraId="01A56800" w14:textId="77777777" w:rsidR="00C03EC4" w:rsidRPr="002E75D4" w:rsidRDefault="00C03EC4" w:rsidP="00C03EC4">
      <w:pPr>
        <w:spacing w:after="0" w:line="240" w:lineRule="auto"/>
        <w:jc w:val="both"/>
        <w:rPr>
          <w:rFonts w:asciiTheme="majorHAnsi" w:hAnsiTheme="majorHAnsi" w:cstheme="majorHAnsi"/>
          <w:sz w:val="24"/>
          <w:szCs w:val="24"/>
        </w:rPr>
      </w:pPr>
    </w:p>
    <w:p w14:paraId="419371F6" w14:textId="77777777" w:rsidR="00C03EC4" w:rsidRPr="002E75D4" w:rsidRDefault="00C03EC4" w:rsidP="00C03EC4">
      <w:pPr>
        <w:spacing w:after="120"/>
        <w:jc w:val="both"/>
        <w:rPr>
          <w:rFonts w:asciiTheme="majorHAnsi" w:hAnsiTheme="majorHAnsi" w:cstheme="majorHAnsi"/>
          <w:b/>
          <w:sz w:val="24"/>
          <w:szCs w:val="24"/>
        </w:rPr>
      </w:pPr>
      <w:r w:rsidRPr="00A021BD">
        <w:rPr>
          <w:rFonts w:asciiTheme="majorHAnsi" w:hAnsiTheme="majorHAnsi" w:cstheme="majorHAnsi"/>
          <w:sz w:val="24"/>
          <w:szCs w:val="24"/>
        </w:rPr>
        <w:t>Les programmes prioritaires contenus dans les annonces du Mali au Sommet mondial sur le climat en septembre 2014 à New York</w:t>
      </w:r>
      <w:r w:rsidRPr="002E75D4">
        <w:rPr>
          <w:rFonts w:asciiTheme="majorHAnsi" w:hAnsiTheme="majorHAnsi" w:cstheme="majorHAnsi"/>
          <w:b/>
          <w:sz w:val="24"/>
          <w:szCs w:val="24"/>
        </w:rPr>
        <w:t xml:space="preserve">. </w:t>
      </w:r>
      <w:r w:rsidRPr="002E75D4">
        <w:rPr>
          <w:rFonts w:asciiTheme="majorHAnsi" w:hAnsiTheme="majorHAnsi" w:cstheme="majorHAnsi"/>
          <w:sz w:val="24"/>
          <w:szCs w:val="24"/>
        </w:rPr>
        <w:t>Il s’agit de :</w:t>
      </w:r>
    </w:p>
    <w:p w14:paraId="5087B96B" w14:textId="77777777" w:rsidR="00C03EC4" w:rsidRPr="002E75D4" w:rsidRDefault="00C03EC4" w:rsidP="00C03EC4">
      <w:pPr>
        <w:pStyle w:val="Paragraphedeliste"/>
        <w:numPr>
          <w:ilvl w:val="0"/>
          <w:numId w:val="52"/>
        </w:numPr>
        <w:spacing w:before="120" w:after="0"/>
        <w:contextualSpacing w:val="0"/>
        <w:jc w:val="both"/>
        <w:rPr>
          <w:rFonts w:asciiTheme="majorHAnsi" w:hAnsiTheme="majorHAnsi" w:cstheme="majorHAnsi"/>
          <w:sz w:val="24"/>
          <w:szCs w:val="24"/>
        </w:rPr>
      </w:pPr>
      <w:r w:rsidRPr="002E75D4">
        <w:rPr>
          <w:rFonts w:asciiTheme="majorHAnsi" w:eastAsia="Calibri" w:hAnsiTheme="majorHAnsi" w:cstheme="majorHAnsi"/>
          <w:sz w:val="24"/>
          <w:szCs w:val="24"/>
          <w:lang w:eastAsia="en-US"/>
        </w:rPr>
        <w:t>l’aménagement forestier pour la restauration des écosystèmes dégradés visant à reboiser 325.000 hectares, promouvoir la régénération naturelle assistée et la lutte contre l’ensablement et renforcer la protection des aires protégées sur 9 millions d’hectares ;</w:t>
      </w:r>
    </w:p>
    <w:p w14:paraId="01E11504" w14:textId="77777777" w:rsidR="00C03EC4" w:rsidRPr="002E75D4" w:rsidRDefault="00C03EC4" w:rsidP="00C03EC4">
      <w:pPr>
        <w:numPr>
          <w:ilvl w:val="0"/>
          <w:numId w:val="52"/>
        </w:numPr>
        <w:spacing w:before="120" w:after="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développement d’une agriculture intelligente et résiliente aux changements climatiques, pour l’aménagement hydro-agricole de 92,000 ha dans le contexte d’une gestion durable des terres avec l’engagement de l’Etat à consacrer 15% du Budget national à l’agriculture ;</w:t>
      </w:r>
    </w:p>
    <w:p w14:paraId="32EFF772" w14:textId="77777777" w:rsidR="00C03EC4" w:rsidRPr="002E75D4" w:rsidRDefault="00C03EC4" w:rsidP="00C03EC4">
      <w:pPr>
        <w:numPr>
          <w:ilvl w:val="0"/>
          <w:numId w:val="52"/>
        </w:numPr>
        <w:spacing w:before="120" w:after="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l’aménagement pastoral résilient aux changements climatiques visant la matérialisation de 3,300 km d’axes de transhumance afin de réduire les conflits entre agriculteurs et éleveurs, la réalisation de 21 périmètres et aires pastorales d’une superficie totale de 400.000 ha ;</w:t>
      </w:r>
    </w:p>
    <w:p w14:paraId="3AF4A4B6" w14:textId="77777777" w:rsidR="00C03EC4" w:rsidRPr="002E75D4" w:rsidRDefault="00C03EC4" w:rsidP="00C03EC4">
      <w:pPr>
        <w:numPr>
          <w:ilvl w:val="0"/>
          <w:numId w:val="52"/>
        </w:numPr>
        <w:spacing w:before="120" w:after="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captage et stockage des eaux de pluie afin de contribuer à l’accès universel à l’eau potable et à l’accès à l’eau pour les autres usages, par la création de 20 systèmes d’adduction d’eau potable et 200 ouvrages de captage d’eau de surface et de plans d’eau de surface au profit de 75,000 ménages ruraux (hommes et femmes) ;</w:t>
      </w:r>
    </w:p>
    <w:p w14:paraId="565FB1DB" w14:textId="77777777" w:rsidR="00C03EC4" w:rsidRPr="002E75D4" w:rsidRDefault="00C03EC4" w:rsidP="00C03EC4">
      <w:pPr>
        <w:numPr>
          <w:ilvl w:val="0"/>
          <w:numId w:val="52"/>
        </w:numPr>
        <w:spacing w:before="120" w:after="0" w:line="240" w:lineRule="auto"/>
        <w:jc w:val="both"/>
        <w:rPr>
          <w:rFonts w:asciiTheme="majorHAnsi" w:eastAsia="Calibri" w:hAnsiTheme="majorHAnsi" w:cstheme="majorHAnsi"/>
          <w:sz w:val="24"/>
          <w:szCs w:val="24"/>
        </w:rPr>
      </w:pPr>
      <w:r w:rsidRPr="002E75D4">
        <w:rPr>
          <w:rFonts w:asciiTheme="majorHAnsi" w:eastAsia="Calibri" w:hAnsiTheme="majorHAnsi" w:cstheme="majorHAnsi"/>
          <w:sz w:val="24"/>
          <w:szCs w:val="24"/>
        </w:rPr>
        <w:t>développement des énergies renouvelables et de l’Efficacité Energétique, visant à installer plus de 100 MW d’énergie renouvelables (objectif visant à atteindre la cible de 10% du mix énergétique à l’horizon 2020, en développant l’énergie photovoltaïque, éolienne, la petite hydro-électricité et la biomasse énergie).</w:t>
      </w:r>
    </w:p>
    <w:p w14:paraId="3037134C" w14:textId="77777777" w:rsidR="00C03EC4" w:rsidRPr="002E75D4" w:rsidRDefault="00C03EC4" w:rsidP="00C03EC4">
      <w:pPr>
        <w:pStyle w:val="Paragraphedeliste"/>
        <w:numPr>
          <w:ilvl w:val="0"/>
          <w:numId w:val="52"/>
        </w:numPr>
        <w:spacing w:before="120" w:after="0" w:line="240" w:lineRule="auto"/>
        <w:jc w:val="both"/>
        <w:rPr>
          <w:rFonts w:asciiTheme="majorHAnsi" w:eastAsia="Calibri" w:hAnsiTheme="majorHAnsi" w:cstheme="majorHAnsi"/>
          <w:sz w:val="24"/>
          <w:szCs w:val="24"/>
          <w:lang w:eastAsia="en-US"/>
        </w:rPr>
      </w:pPr>
      <w:r w:rsidRPr="002E75D4">
        <w:rPr>
          <w:rFonts w:asciiTheme="majorHAnsi" w:eastAsia="Calibri" w:hAnsiTheme="majorHAnsi" w:cstheme="majorHAnsi"/>
          <w:sz w:val="24"/>
          <w:szCs w:val="24"/>
          <w:lang w:eastAsia="en-US"/>
        </w:rPr>
        <w:t xml:space="preserve">Le montant de ces projets pour la période 2020-2030 est de </w:t>
      </w:r>
      <w:r w:rsidRPr="002E75D4">
        <w:rPr>
          <w:rFonts w:asciiTheme="majorHAnsi" w:hAnsiTheme="majorHAnsi" w:cstheme="majorHAnsi"/>
          <w:sz w:val="24"/>
          <w:szCs w:val="24"/>
          <w:lang w:val="es-ES"/>
        </w:rPr>
        <w:t>0,708 milliards $US</w:t>
      </w:r>
    </w:p>
    <w:p w14:paraId="4BEC244C" w14:textId="77777777" w:rsidR="00C03EC4" w:rsidRPr="002E75D4" w:rsidRDefault="00C03EC4" w:rsidP="00C03EC4">
      <w:pPr>
        <w:spacing w:before="120" w:after="0" w:line="240" w:lineRule="auto"/>
        <w:ind w:left="714"/>
        <w:contextualSpacing/>
        <w:jc w:val="both"/>
        <w:rPr>
          <w:rStyle w:val="Accentuation"/>
          <w:rFonts w:asciiTheme="majorHAnsi" w:eastAsia="Calibri" w:hAnsiTheme="majorHAnsi" w:cstheme="majorHAnsi"/>
          <w:b w:val="0"/>
          <w:bCs w:val="0"/>
          <w:i w:val="0"/>
          <w:iCs w:val="0"/>
        </w:rPr>
      </w:pPr>
    </w:p>
    <w:p w14:paraId="3D3961B5" w14:textId="77777777" w:rsidR="00C03EC4" w:rsidRPr="00A021BD" w:rsidRDefault="00C03EC4" w:rsidP="00C03EC4">
      <w:pPr>
        <w:spacing w:before="120" w:after="240"/>
        <w:jc w:val="both"/>
        <w:rPr>
          <w:rFonts w:asciiTheme="majorHAnsi" w:hAnsiTheme="majorHAnsi" w:cstheme="majorHAnsi"/>
          <w:sz w:val="24"/>
          <w:szCs w:val="24"/>
        </w:rPr>
      </w:pPr>
      <w:r w:rsidRPr="00A021BD">
        <w:rPr>
          <w:rFonts w:asciiTheme="majorHAnsi" w:hAnsiTheme="majorHAnsi" w:cstheme="majorHAnsi"/>
          <w:sz w:val="24"/>
          <w:szCs w:val="24"/>
        </w:rPr>
        <w:t>Les projets relevant du secteur des changements d’affectation des terres et de la foresterie :</w:t>
      </w:r>
    </w:p>
    <w:p w14:paraId="5D663E62" w14:textId="77777777" w:rsidR="00C03EC4" w:rsidRPr="002E75D4" w:rsidRDefault="00C03EC4" w:rsidP="00C03EC4">
      <w:pPr>
        <w:pStyle w:val="Paragraphedeliste"/>
        <w:numPr>
          <w:ilvl w:val="0"/>
          <w:numId w:val="53"/>
        </w:numPr>
        <w:jc w:val="both"/>
        <w:rPr>
          <w:rFonts w:asciiTheme="majorHAnsi" w:hAnsiTheme="majorHAnsi" w:cstheme="majorHAnsi"/>
          <w:sz w:val="24"/>
          <w:szCs w:val="24"/>
        </w:rPr>
      </w:pPr>
      <w:r w:rsidRPr="002E75D4">
        <w:rPr>
          <w:rFonts w:asciiTheme="majorHAnsi" w:hAnsiTheme="majorHAnsi" w:cstheme="majorHAnsi"/>
          <w:sz w:val="24"/>
          <w:szCs w:val="24"/>
        </w:rPr>
        <w:t>projet de gestion de l’ensablement des cours d’eau afin de développer les systèmes de productions agricoles, aquacoles et le transport fluvial pour un montant de 1,5Milliards de $US ;</w:t>
      </w:r>
    </w:p>
    <w:p w14:paraId="36742971" w14:textId="77777777" w:rsidR="00C03EC4" w:rsidRPr="002E75D4" w:rsidRDefault="00C03EC4" w:rsidP="00C03EC4">
      <w:pPr>
        <w:pStyle w:val="Paragraphedeliste"/>
        <w:numPr>
          <w:ilvl w:val="0"/>
          <w:numId w:val="53"/>
        </w:numPr>
        <w:jc w:val="both"/>
        <w:rPr>
          <w:rFonts w:asciiTheme="majorHAnsi" w:hAnsiTheme="majorHAnsi" w:cstheme="majorHAnsi"/>
          <w:sz w:val="24"/>
          <w:szCs w:val="24"/>
        </w:rPr>
      </w:pPr>
      <w:r w:rsidRPr="002E75D4">
        <w:rPr>
          <w:rFonts w:asciiTheme="majorHAnsi" w:hAnsiTheme="majorHAnsi" w:cstheme="majorHAnsi"/>
          <w:sz w:val="24"/>
          <w:szCs w:val="24"/>
        </w:rPr>
        <w:t>projet de reboisement et la plantation de milliers d’hectares d’arbres fruitiers afin de reconstituer le couvert végétal et protéger les espaces agricoles de l'érosion, hydrique et éolienne pour un cout de 0,5 milliard de $US.</w:t>
      </w:r>
    </w:p>
    <w:p w14:paraId="2166A6D9" w14:textId="77777777" w:rsidR="00C03EC4" w:rsidRPr="00A021BD" w:rsidRDefault="00C03EC4" w:rsidP="00C03EC4">
      <w:pPr>
        <w:spacing w:before="120" w:after="120" w:line="240" w:lineRule="auto"/>
        <w:jc w:val="both"/>
        <w:rPr>
          <w:rFonts w:asciiTheme="majorHAnsi" w:eastAsia="Calibri" w:hAnsiTheme="majorHAnsi" w:cstheme="majorHAnsi"/>
          <w:sz w:val="24"/>
          <w:szCs w:val="24"/>
        </w:rPr>
      </w:pPr>
      <w:r w:rsidRPr="00A021BD">
        <w:rPr>
          <w:rFonts w:asciiTheme="majorHAnsi" w:eastAsia="Calibri" w:hAnsiTheme="majorHAnsi" w:cstheme="majorHAnsi"/>
          <w:sz w:val="24"/>
          <w:szCs w:val="24"/>
        </w:rPr>
        <w:t>Programmes relevant du REDD+ déjà inscrits au titre de l’atténuation :</w:t>
      </w:r>
    </w:p>
    <w:p w14:paraId="7A1BA1A7" w14:textId="77777777" w:rsidR="00C03EC4" w:rsidRPr="002E75D4" w:rsidRDefault="00C03EC4" w:rsidP="00C03EC4">
      <w:pPr>
        <w:pStyle w:val="Paragraphedeliste"/>
        <w:numPr>
          <w:ilvl w:val="0"/>
          <w:numId w:val="54"/>
        </w:numPr>
        <w:jc w:val="both"/>
        <w:rPr>
          <w:rFonts w:asciiTheme="majorHAnsi" w:hAnsiTheme="majorHAnsi" w:cstheme="majorHAnsi"/>
          <w:sz w:val="24"/>
          <w:szCs w:val="24"/>
        </w:rPr>
      </w:pPr>
      <w:r w:rsidRPr="002E75D4">
        <w:rPr>
          <w:rFonts w:asciiTheme="majorHAnsi" w:hAnsiTheme="majorHAnsi" w:cstheme="majorHAnsi"/>
          <w:sz w:val="24"/>
          <w:szCs w:val="24"/>
        </w:rPr>
        <w:t>programme intégré avec les secteurs de l’industrie et des collectivités territoriales portant sur le Développement de la Production de gomme arabique et autres PFNL et résilience des communautés locales des écosystèmes agro-forestiers des zones arides et semi-arides à l’horizon 2030, dont l’objectif est la réalisation de 200 000 ha de plantations d’Acacia Sénégal, d’anacarde et autres fruits forestiers ;</w:t>
      </w:r>
    </w:p>
    <w:p w14:paraId="1115872C" w14:textId="77777777" w:rsidR="00C03EC4" w:rsidRPr="002E75D4" w:rsidRDefault="00C03EC4" w:rsidP="00C03EC4">
      <w:pPr>
        <w:pStyle w:val="Paragraphedeliste"/>
        <w:jc w:val="both"/>
        <w:rPr>
          <w:rFonts w:asciiTheme="majorHAnsi" w:hAnsiTheme="majorHAnsi" w:cstheme="majorHAnsi"/>
          <w:sz w:val="24"/>
          <w:szCs w:val="24"/>
        </w:rPr>
      </w:pPr>
    </w:p>
    <w:p w14:paraId="01EF4E12" w14:textId="77777777" w:rsidR="00C03EC4" w:rsidRPr="002E75D4" w:rsidRDefault="00C03EC4" w:rsidP="00C03EC4">
      <w:pPr>
        <w:pStyle w:val="Paragraphedeliste"/>
        <w:numPr>
          <w:ilvl w:val="0"/>
          <w:numId w:val="54"/>
        </w:numPr>
        <w:jc w:val="both"/>
        <w:rPr>
          <w:rFonts w:asciiTheme="majorHAnsi" w:hAnsiTheme="majorHAnsi" w:cstheme="majorHAnsi"/>
          <w:sz w:val="24"/>
          <w:szCs w:val="24"/>
        </w:rPr>
      </w:pPr>
      <w:r w:rsidRPr="002E75D4">
        <w:rPr>
          <w:rFonts w:asciiTheme="majorHAnsi" w:hAnsiTheme="majorHAnsi" w:cstheme="majorHAnsi"/>
          <w:sz w:val="24"/>
          <w:szCs w:val="24"/>
        </w:rPr>
        <w:t>programme National de Reboisement prévoyant la réalisation, à l’horizon 2030, de 340.000 ha de plantations. Il sera le socle de tous les travaux de reboisements futurs des acteurs (Etat, Collectivités, ONG et planteur privés) ;</w:t>
      </w:r>
    </w:p>
    <w:p w14:paraId="5492CD06" w14:textId="77777777" w:rsidR="00C03EC4" w:rsidRPr="002E75D4" w:rsidRDefault="00C03EC4" w:rsidP="00C03EC4">
      <w:pPr>
        <w:pStyle w:val="Paragraphedeliste"/>
        <w:jc w:val="both"/>
        <w:rPr>
          <w:rFonts w:asciiTheme="majorHAnsi" w:hAnsiTheme="majorHAnsi" w:cstheme="majorHAnsi"/>
          <w:sz w:val="24"/>
          <w:szCs w:val="24"/>
        </w:rPr>
      </w:pPr>
    </w:p>
    <w:p w14:paraId="1ED039C6" w14:textId="77777777" w:rsidR="00C03EC4" w:rsidRPr="002E75D4" w:rsidRDefault="00C03EC4" w:rsidP="00C03EC4">
      <w:pPr>
        <w:pStyle w:val="Paragraphedeliste"/>
        <w:numPr>
          <w:ilvl w:val="0"/>
          <w:numId w:val="54"/>
        </w:numPr>
        <w:jc w:val="both"/>
        <w:rPr>
          <w:rFonts w:asciiTheme="majorHAnsi" w:hAnsiTheme="majorHAnsi" w:cstheme="majorHAnsi"/>
          <w:sz w:val="24"/>
          <w:szCs w:val="24"/>
        </w:rPr>
      </w:pPr>
      <w:r w:rsidRPr="002E75D4">
        <w:rPr>
          <w:rFonts w:asciiTheme="majorHAnsi" w:hAnsiTheme="majorHAnsi" w:cstheme="majorHAnsi"/>
          <w:sz w:val="24"/>
          <w:szCs w:val="24"/>
        </w:rPr>
        <w:t>programme de renforcement de la séquestration du carbone par la mise sous aménagements des formations forestières. L’objectif visé d’ici 2030 est de 1 000.000 ha de formations naturelles soumises aux aménagements forestiers pour le maintien du capital productif, de la biodiversité et de la lutte contre la dégradation des sols.</w:t>
      </w:r>
    </w:p>
    <w:p w14:paraId="35451C33" w14:textId="77777777" w:rsidR="00C03EC4" w:rsidRPr="002E75D4" w:rsidRDefault="00C03EC4" w:rsidP="00C03EC4">
      <w:pPr>
        <w:jc w:val="both"/>
        <w:rPr>
          <w:rFonts w:asciiTheme="majorHAnsi" w:hAnsiTheme="majorHAnsi" w:cstheme="majorHAnsi"/>
          <w:sz w:val="24"/>
          <w:szCs w:val="24"/>
        </w:rPr>
      </w:pPr>
      <w:r w:rsidRPr="002E75D4">
        <w:rPr>
          <w:rFonts w:asciiTheme="majorHAnsi" w:hAnsiTheme="majorHAnsi" w:cstheme="majorHAnsi"/>
          <w:sz w:val="24"/>
          <w:szCs w:val="24"/>
        </w:rPr>
        <w:t xml:space="preserve">Ce programme REDD+ concerne une grande ^partie des programmes d’atténuation et d’adaptation dans le secteur de la foresterie. En outre, Il va comptabiliser les réalisations de séquestrations directes ou indirectes de CO2 en cours ou futures des programmes AGCC, PDD-DIN et GEDEFOR. </w:t>
      </w:r>
    </w:p>
    <w:p w14:paraId="37579E01" w14:textId="77777777" w:rsidR="00C03EC4" w:rsidRPr="002E75D4" w:rsidRDefault="00C03EC4" w:rsidP="00C03EC4">
      <w:pPr>
        <w:jc w:val="both"/>
        <w:rPr>
          <w:rFonts w:asciiTheme="majorHAnsi" w:hAnsiTheme="majorHAnsi" w:cstheme="majorHAnsi"/>
          <w:b/>
          <w:bCs/>
          <w:sz w:val="24"/>
          <w:szCs w:val="24"/>
        </w:rPr>
      </w:pPr>
      <w:r w:rsidRPr="00A021BD">
        <w:rPr>
          <w:rFonts w:asciiTheme="majorHAnsi" w:hAnsiTheme="majorHAnsi" w:cstheme="majorHAnsi"/>
          <w:sz w:val="24"/>
          <w:szCs w:val="24"/>
        </w:rPr>
        <w:t>Les projets relevant du Programme d’Action National d’Adaptation aux changements climatiques (PANA)</w:t>
      </w:r>
      <w:r w:rsidRPr="002E75D4">
        <w:rPr>
          <w:rFonts w:asciiTheme="majorHAnsi" w:hAnsiTheme="majorHAnsi" w:cstheme="majorHAnsi"/>
          <w:b/>
          <w:bCs/>
          <w:sz w:val="24"/>
          <w:szCs w:val="24"/>
        </w:rPr>
        <w:t> :</w:t>
      </w:r>
    </w:p>
    <w:p w14:paraId="37555F29" w14:textId="77777777" w:rsidR="00C03EC4" w:rsidRPr="002E75D4" w:rsidRDefault="00C03EC4" w:rsidP="00C03EC4">
      <w:pPr>
        <w:pStyle w:val="Paragraphedeliste"/>
        <w:numPr>
          <w:ilvl w:val="0"/>
          <w:numId w:val="55"/>
        </w:numPr>
        <w:spacing w:after="0"/>
        <w:jc w:val="both"/>
        <w:rPr>
          <w:rFonts w:asciiTheme="majorHAnsi" w:hAnsiTheme="majorHAnsi" w:cstheme="majorHAnsi"/>
          <w:sz w:val="24"/>
          <w:szCs w:val="24"/>
        </w:rPr>
      </w:pPr>
      <w:r w:rsidRPr="002E75D4">
        <w:rPr>
          <w:rFonts w:asciiTheme="majorHAnsi" w:hAnsiTheme="majorHAnsi" w:cstheme="majorHAnsi"/>
          <w:sz w:val="24"/>
          <w:szCs w:val="24"/>
        </w:rPr>
        <w:t>le développement et la vulgarisation des variétés des cultures, de types d’animaux et des cultures fourragères améliorées et adaptées ;</w:t>
      </w:r>
    </w:p>
    <w:p w14:paraId="613076B8" w14:textId="77777777" w:rsidR="00C03EC4" w:rsidRPr="002E75D4" w:rsidRDefault="00C03EC4" w:rsidP="00C03EC4">
      <w:pPr>
        <w:pStyle w:val="Paragraphedeliste"/>
        <w:numPr>
          <w:ilvl w:val="0"/>
          <w:numId w:val="55"/>
        </w:numPr>
        <w:spacing w:after="0"/>
        <w:jc w:val="both"/>
        <w:rPr>
          <w:rFonts w:asciiTheme="majorHAnsi" w:hAnsiTheme="majorHAnsi" w:cstheme="majorHAnsi"/>
          <w:sz w:val="24"/>
          <w:szCs w:val="24"/>
        </w:rPr>
      </w:pPr>
      <w:r w:rsidRPr="002E75D4">
        <w:rPr>
          <w:rFonts w:asciiTheme="majorHAnsi" w:hAnsiTheme="majorHAnsi" w:cstheme="majorHAnsi"/>
          <w:sz w:val="24"/>
          <w:szCs w:val="24"/>
        </w:rPr>
        <w:t xml:space="preserve">la promotion des banques de céréales ; </w:t>
      </w:r>
    </w:p>
    <w:p w14:paraId="1B474DFB" w14:textId="77777777" w:rsidR="00C03EC4" w:rsidRPr="002E75D4" w:rsidRDefault="00C03EC4" w:rsidP="00C03EC4">
      <w:pPr>
        <w:pStyle w:val="Paragraphedeliste"/>
        <w:numPr>
          <w:ilvl w:val="0"/>
          <w:numId w:val="55"/>
        </w:numPr>
        <w:spacing w:after="0"/>
        <w:jc w:val="both"/>
        <w:rPr>
          <w:rFonts w:asciiTheme="majorHAnsi" w:hAnsiTheme="majorHAnsi" w:cstheme="majorHAnsi"/>
          <w:sz w:val="24"/>
          <w:szCs w:val="24"/>
        </w:rPr>
      </w:pPr>
      <w:r w:rsidRPr="002E75D4">
        <w:rPr>
          <w:rFonts w:asciiTheme="majorHAnsi" w:hAnsiTheme="majorHAnsi" w:cstheme="majorHAnsi"/>
          <w:sz w:val="24"/>
          <w:szCs w:val="24"/>
        </w:rPr>
        <w:t xml:space="preserve">les Activités Génératrices de Revenus (AGR) ; </w:t>
      </w:r>
    </w:p>
    <w:p w14:paraId="1987678F" w14:textId="77777777" w:rsidR="00C03EC4" w:rsidRPr="002E75D4" w:rsidRDefault="00C03EC4" w:rsidP="00C03EC4">
      <w:pPr>
        <w:pStyle w:val="Paragraphedeliste"/>
        <w:numPr>
          <w:ilvl w:val="0"/>
          <w:numId w:val="55"/>
        </w:numPr>
        <w:spacing w:after="0"/>
        <w:jc w:val="both"/>
        <w:rPr>
          <w:rFonts w:asciiTheme="majorHAnsi" w:hAnsiTheme="majorHAnsi" w:cstheme="majorHAnsi"/>
          <w:sz w:val="24"/>
          <w:szCs w:val="24"/>
        </w:rPr>
      </w:pPr>
      <w:r w:rsidRPr="002E75D4">
        <w:rPr>
          <w:rFonts w:asciiTheme="majorHAnsi" w:hAnsiTheme="majorHAnsi" w:cstheme="majorHAnsi"/>
          <w:sz w:val="24"/>
          <w:szCs w:val="24"/>
        </w:rPr>
        <w:t xml:space="preserve">les aménagements agricoles à petite échelle et la conservation des terres ; </w:t>
      </w:r>
    </w:p>
    <w:p w14:paraId="7A9C9676" w14:textId="77777777" w:rsidR="00C03EC4" w:rsidRPr="002E75D4" w:rsidRDefault="00C03EC4" w:rsidP="00C03EC4">
      <w:pPr>
        <w:pStyle w:val="Paragraphedeliste"/>
        <w:numPr>
          <w:ilvl w:val="0"/>
          <w:numId w:val="55"/>
        </w:numPr>
        <w:spacing w:after="0"/>
        <w:jc w:val="both"/>
        <w:rPr>
          <w:rFonts w:asciiTheme="majorHAnsi" w:hAnsiTheme="majorHAnsi" w:cstheme="majorHAnsi"/>
          <w:sz w:val="24"/>
          <w:szCs w:val="24"/>
        </w:rPr>
      </w:pPr>
      <w:r w:rsidRPr="002E75D4">
        <w:rPr>
          <w:rFonts w:asciiTheme="majorHAnsi" w:hAnsiTheme="majorHAnsi" w:cstheme="majorHAnsi"/>
          <w:sz w:val="24"/>
          <w:szCs w:val="24"/>
        </w:rPr>
        <w:t xml:space="preserve">ldes produits et informations météorologiques et le renforcement des capacités.  </w:t>
      </w:r>
    </w:p>
    <w:p w14:paraId="644531F0" w14:textId="77777777" w:rsidR="00C03EC4" w:rsidRPr="00A021BD" w:rsidRDefault="00C03EC4" w:rsidP="00C03EC4">
      <w:pPr>
        <w:spacing w:before="120" w:after="0" w:line="240" w:lineRule="auto"/>
        <w:jc w:val="both"/>
        <w:rPr>
          <w:rFonts w:asciiTheme="majorHAnsi" w:eastAsia="Calibri" w:hAnsiTheme="majorHAnsi" w:cstheme="majorHAnsi"/>
          <w:b/>
          <w:bCs/>
          <w:sz w:val="24"/>
          <w:szCs w:val="24"/>
        </w:rPr>
      </w:pPr>
      <w:r w:rsidRPr="00A021BD">
        <w:rPr>
          <w:rFonts w:asciiTheme="majorHAnsi" w:eastAsia="Calibri" w:hAnsiTheme="majorHAnsi" w:cstheme="majorHAnsi"/>
          <w:b/>
          <w:bCs/>
          <w:sz w:val="24"/>
          <w:szCs w:val="24"/>
        </w:rPr>
        <w:t>Projets sectoriels</w:t>
      </w:r>
    </w:p>
    <w:p w14:paraId="4D99B4CE" w14:textId="77777777" w:rsidR="00C03EC4" w:rsidRPr="002E75D4" w:rsidRDefault="00C03EC4" w:rsidP="00C03EC4">
      <w:pPr>
        <w:spacing w:before="120" w:after="0" w:line="240" w:lineRule="auto"/>
        <w:jc w:val="both"/>
        <w:rPr>
          <w:rFonts w:asciiTheme="majorHAnsi" w:eastAsia="Calibri" w:hAnsiTheme="majorHAnsi" w:cstheme="majorHAnsi"/>
          <w:sz w:val="24"/>
          <w:szCs w:val="24"/>
        </w:rPr>
      </w:pPr>
      <w:r w:rsidRPr="00A021BD">
        <w:rPr>
          <w:rFonts w:asciiTheme="majorHAnsi" w:eastAsia="Calibri" w:hAnsiTheme="majorHAnsi" w:cstheme="majorHAnsi"/>
          <w:sz w:val="24"/>
          <w:szCs w:val="24"/>
        </w:rPr>
        <w:t>Le Tableau ci-dessous résume</w:t>
      </w:r>
      <w:r w:rsidRPr="002E75D4">
        <w:rPr>
          <w:rFonts w:asciiTheme="majorHAnsi" w:eastAsia="Calibri" w:hAnsiTheme="majorHAnsi" w:cstheme="majorHAnsi"/>
          <w:sz w:val="24"/>
          <w:szCs w:val="24"/>
        </w:rPr>
        <w:t xml:space="preserve"> les projets sectoriels </w:t>
      </w:r>
    </w:p>
    <w:p w14:paraId="1CBA1CE7" w14:textId="77777777" w:rsidR="00C03EC4" w:rsidRPr="002E75D4" w:rsidRDefault="00C03EC4" w:rsidP="00C03EC4">
      <w:pPr>
        <w:spacing w:before="120" w:after="0" w:line="240" w:lineRule="auto"/>
        <w:jc w:val="both"/>
        <w:rPr>
          <w:rFonts w:asciiTheme="majorHAnsi" w:eastAsia="Calibri" w:hAnsiTheme="majorHAnsi" w:cstheme="majorHAnsi"/>
          <w:sz w:val="24"/>
          <w:szCs w:val="24"/>
        </w:rPr>
      </w:pPr>
      <w:r w:rsidRPr="00B13E5A">
        <w:rPr>
          <w:rFonts w:asciiTheme="majorHAnsi" w:eastAsia="Calibri" w:hAnsiTheme="majorHAnsi" w:cstheme="majorHAnsi"/>
          <w:b/>
          <w:bCs/>
          <w:sz w:val="24"/>
          <w:szCs w:val="24"/>
          <w:u w:val="single"/>
        </w:rPr>
        <w:t>Tableau 19</w:t>
      </w:r>
      <w:r w:rsidRPr="002E75D4">
        <w:rPr>
          <w:rFonts w:asciiTheme="majorHAnsi" w:eastAsia="Calibri" w:hAnsiTheme="majorHAnsi" w:cstheme="majorHAnsi"/>
          <w:b/>
          <w:sz w:val="24"/>
          <w:szCs w:val="24"/>
        </w:rPr>
        <w:t xml:space="preserve"> :</w:t>
      </w:r>
      <w:r w:rsidRPr="002E75D4">
        <w:rPr>
          <w:rFonts w:asciiTheme="majorHAnsi" w:eastAsia="Calibri" w:hAnsiTheme="majorHAnsi" w:cstheme="majorHAnsi"/>
          <w:sz w:val="24"/>
          <w:szCs w:val="24"/>
        </w:rPr>
        <w:t xml:space="preserve"> </w:t>
      </w:r>
      <w:r w:rsidRPr="002E75D4">
        <w:rPr>
          <w:rFonts w:asciiTheme="majorHAnsi" w:hAnsiTheme="majorHAnsi" w:cstheme="majorHAnsi"/>
          <w:sz w:val="24"/>
          <w:szCs w:val="24"/>
        </w:rPr>
        <w:t xml:space="preserve">Projets sectoriels </w:t>
      </w:r>
      <w:r w:rsidRPr="002E75D4">
        <w:rPr>
          <w:rFonts w:asciiTheme="majorHAnsi" w:eastAsia="Calibri" w:hAnsiTheme="majorHAnsi" w:cstheme="majorHAnsi"/>
          <w:sz w:val="24"/>
          <w:szCs w:val="24"/>
        </w:rPr>
        <w:t>en adaptation</w:t>
      </w:r>
    </w:p>
    <w:p w14:paraId="2AF38A22" w14:textId="77777777" w:rsidR="00C03EC4" w:rsidRPr="002E75D4" w:rsidRDefault="00C03EC4" w:rsidP="00C03EC4">
      <w:pPr>
        <w:pStyle w:val="Paragraphedeliste"/>
        <w:spacing w:after="0" w:line="240" w:lineRule="auto"/>
        <w:ind w:left="357"/>
        <w:jc w:val="both"/>
        <w:rPr>
          <w:rFonts w:asciiTheme="majorHAnsi" w:eastAsia="Calibri" w:hAnsiTheme="majorHAnsi" w:cstheme="majorHAnsi"/>
          <w:sz w:val="24"/>
          <w:szCs w:val="24"/>
          <w:lang w:eastAsia="en-US"/>
        </w:rPr>
      </w:pPr>
    </w:p>
    <w:tbl>
      <w:tblPr>
        <w:tblStyle w:val="Grillemoyenne3-Accent1"/>
        <w:tblW w:w="5000" w:type="pct"/>
        <w:tblLook w:val="0420" w:firstRow="1" w:lastRow="0" w:firstColumn="0" w:lastColumn="0" w:noHBand="0" w:noVBand="1"/>
      </w:tblPr>
      <w:tblGrid>
        <w:gridCol w:w="5463"/>
        <w:gridCol w:w="2132"/>
        <w:gridCol w:w="2024"/>
      </w:tblGrid>
      <w:tr w:rsidR="00C03EC4" w:rsidRPr="002E75D4" w14:paraId="668055E2" w14:textId="77777777" w:rsidTr="000D6136">
        <w:trPr>
          <w:cnfStyle w:val="100000000000" w:firstRow="1" w:lastRow="0" w:firstColumn="0" w:lastColumn="0" w:oddVBand="0" w:evenVBand="0" w:oddHBand="0" w:evenHBand="0" w:firstRowFirstColumn="0" w:firstRowLastColumn="0" w:lastRowFirstColumn="0" w:lastRowLastColumn="0"/>
        </w:trPr>
        <w:tc>
          <w:tcPr>
            <w:tcW w:w="2840" w:type="pct"/>
            <w:shd w:val="clear" w:color="auto" w:fill="C00000"/>
          </w:tcPr>
          <w:p w14:paraId="5C070760" w14:textId="77777777" w:rsidR="00C03EC4" w:rsidRPr="002E75D4" w:rsidRDefault="00C03EC4" w:rsidP="000D6136">
            <w:pPr>
              <w:spacing w:before="240"/>
              <w:rPr>
                <w:rFonts w:asciiTheme="majorHAnsi" w:hAnsiTheme="majorHAnsi" w:cstheme="majorHAnsi"/>
                <w:color w:val="auto"/>
                <w:u w:val="single"/>
              </w:rPr>
            </w:pPr>
            <w:r w:rsidRPr="002E75D4">
              <w:rPr>
                <w:rFonts w:asciiTheme="majorHAnsi" w:hAnsiTheme="majorHAnsi" w:cstheme="majorHAnsi"/>
                <w:color w:val="auto"/>
              </w:rPr>
              <w:t>INTITULE DES PROJETS</w:t>
            </w:r>
          </w:p>
        </w:tc>
        <w:tc>
          <w:tcPr>
            <w:tcW w:w="1108" w:type="pct"/>
            <w:shd w:val="clear" w:color="auto" w:fill="002060"/>
          </w:tcPr>
          <w:p w14:paraId="14B2E397" w14:textId="77777777" w:rsidR="00C03EC4" w:rsidRPr="002E75D4" w:rsidRDefault="00C03EC4" w:rsidP="000D6136">
            <w:pPr>
              <w:spacing w:before="240"/>
              <w:rPr>
                <w:rFonts w:asciiTheme="majorHAnsi" w:hAnsiTheme="majorHAnsi" w:cstheme="majorHAnsi"/>
                <w:color w:val="auto"/>
                <w:u w:val="single"/>
              </w:rPr>
            </w:pPr>
            <w:r w:rsidRPr="002E75D4">
              <w:rPr>
                <w:rFonts w:asciiTheme="majorHAnsi" w:hAnsiTheme="majorHAnsi" w:cstheme="majorHAnsi"/>
                <w:color w:val="auto"/>
              </w:rPr>
              <w:t>MONTANT ($US)</w:t>
            </w:r>
          </w:p>
        </w:tc>
        <w:tc>
          <w:tcPr>
            <w:tcW w:w="1052" w:type="pct"/>
            <w:shd w:val="clear" w:color="auto" w:fill="BF8F00" w:themeFill="accent4" w:themeFillShade="BF"/>
          </w:tcPr>
          <w:p w14:paraId="2DD1D90B" w14:textId="77777777" w:rsidR="00C03EC4" w:rsidRPr="002E75D4" w:rsidRDefault="00C03EC4" w:rsidP="000D6136">
            <w:pPr>
              <w:spacing w:before="240"/>
              <w:rPr>
                <w:rFonts w:asciiTheme="majorHAnsi" w:hAnsiTheme="majorHAnsi" w:cstheme="majorHAnsi"/>
                <w:color w:val="auto"/>
              </w:rPr>
            </w:pPr>
            <w:r w:rsidRPr="002E75D4">
              <w:rPr>
                <w:rFonts w:asciiTheme="majorHAnsi" w:hAnsiTheme="majorHAnsi" w:cstheme="majorHAnsi"/>
                <w:color w:val="auto"/>
              </w:rPr>
              <w:t>RESPONSABLES</w:t>
            </w:r>
          </w:p>
        </w:tc>
      </w:tr>
      <w:tr w:rsidR="00C03EC4" w:rsidRPr="002E75D4" w14:paraId="10BCF15F" w14:textId="77777777" w:rsidTr="000D6136">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BFBFBF" w:themeFill="background1" w:themeFillShade="BF"/>
          </w:tcPr>
          <w:p w14:paraId="646BA59A"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Projets dans le domaine de l’Agriculture</w:t>
            </w:r>
          </w:p>
        </w:tc>
      </w:tr>
      <w:tr w:rsidR="00C03EC4" w:rsidRPr="002E75D4" w14:paraId="4999B34E" w14:textId="77777777" w:rsidTr="000D6136">
        <w:tc>
          <w:tcPr>
            <w:tcW w:w="2840" w:type="pct"/>
            <w:shd w:val="clear" w:color="auto" w:fill="FFF3F3"/>
          </w:tcPr>
          <w:p w14:paraId="3B84769F" w14:textId="77777777" w:rsidR="00C03EC4" w:rsidRPr="002E75D4" w:rsidRDefault="00C03EC4" w:rsidP="000D6136">
            <w:pPr>
              <w:spacing w:before="240"/>
              <w:jc w:val="left"/>
              <w:rPr>
                <w:rFonts w:asciiTheme="majorHAnsi" w:hAnsiTheme="majorHAnsi" w:cstheme="majorHAnsi"/>
                <w:b/>
                <w:u w:val="single"/>
              </w:rPr>
            </w:pPr>
            <w:r w:rsidRPr="002E75D4">
              <w:rPr>
                <w:rFonts w:asciiTheme="majorHAnsi" w:hAnsiTheme="majorHAnsi" w:cstheme="majorHAnsi"/>
                <w:b/>
              </w:rPr>
              <w:t>Programme de promotion de l’utilisation de la fumure organique et de l’engrais par micro dose.</w:t>
            </w:r>
          </w:p>
        </w:tc>
        <w:tc>
          <w:tcPr>
            <w:tcW w:w="1108" w:type="pct"/>
          </w:tcPr>
          <w:p w14:paraId="63C77293"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2 500 000,00</w:t>
            </w:r>
          </w:p>
        </w:tc>
        <w:tc>
          <w:tcPr>
            <w:tcW w:w="1052" w:type="pct"/>
            <w:shd w:val="clear" w:color="auto" w:fill="FFF2CC" w:themeFill="accent4" w:themeFillTint="33"/>
          </w:tcPr>
          <w:p w14:paraId="75834FCF"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DNA</w:t>
            </w:r>
          </w:p>
        </w:tc>
      </w:tr>
      <w:tr w:rsidR="00C03EC4" w:rsidRPr="002E75D4" w14:paraId="38F866E6"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2880A1F6" w14:textId="77777777" w:rsidR="00C03EC4" w:rsidRPr="002E75D4" w:rsidRDefault="00C03EC4" w:rsidP="000D6136">
            <w:pPr>
              <w:spacing w:before="240"/>
              <w:jc w:val="left"/>
              <w:rPr>
                <w:rFonts w:asciiTheme="majorHAnsi" w:hAnsiTheme="majorHAnsi" w:cstheme="majorHAnsi"/>
                <w:b/>
                <w:u w:val="single"/>
              </w:rPr>
            </w:pPr>
            <w:r w:rsidRPr="002E75D4">
              <w:rPr>
                <w:rFonts w:asciiTheme="majorHAnsi" w:hAnsiTheme="majorHAnsi" w:cstheme="majorHAnsi"/>
                <w:b/>
              </w:rPr>
              <w:t>Programme de promotion de l’irrigation intermittente et du SRI en riziculture irriguée</w:t>
            </w:r>
          </w:p>
        </w:tc>
        <w:tc>
          <w:tcPr>
            <w:tcW w:w="1108" w:type="pct"/>
          </w:tcPr>
          <w:p w14:paraId="69D2200C"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 xml:space="preserve">0,59 </w:t>
            </w:r>
            <w:r w:rsidRPr="002E75D4">
              <w:rPr>
                <w:rFonts w:asciiTheme="majorHAnsi" w:hAnsiTheme="majorHAnsi" w:cstheme="majorHAnsi"/>
                <w:b/>
                <w:lang w:val="fr-ML"/>
              </w:rPr>
              <w:t>milliard de $US</w:t>
            </w:r>
          </w:p>
        </w:tc>
        <w:tc>
          <w:tcPr>
            <w:tcW w:w="1052" w:type="pct"/>
            <w:shd w:val="clear" w:color="auto" w:fill="FFE599" w:themeFill="accent4" w:themeFillTint="66"/>
          </w:tcPr>
          <w:p w14:paraId="3D2469B7"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DNA</w:t>
            </w:r>
          </w:p>
        </w:tc>
      </w:tr>
      <w:tr w:rsidR="00C03EC4" w:rsidRPr="002E75D4" w14:paraId="528047DF" w14:textId="77777777" w:rsidTr="000D6136">
        <w:tc>
          <w:tcPr>
            <w:tcW w:w="2840" w:type="pct"/>
            <w:shd w:val="clear" w:color="auto" w:fill="FFF3F3"/>
          </w:tcPr>
          <w:p w14:paraId="2C906218" w14:textId="77777777" w:rsidR="00C03EC4" w:rsidRPr="002E75D4" w:rsidRDefault="00C03EC4" w:rsidP="000D6136">
            <w:pPr>
              <w:spacing w:before="240"/>
              <w:jc w:val="left"/>
              <w:rPr>
                <w:rFonts w:asciiTheme="majorHAnsi" w:hAnsiTheme="majorHAnsi" w:cstheme="majorHAnsi"/>
                <w:b/>
                <w:u w:val="single"/>
              </w:rPr>
            </w:pPr>
            <w:r w:rsidRPr="002E75D4">
              <w:rPr>
                <w:rFonts w:asciiTheme="majorHAnsi" w:hAnsiTheme="majorHAnsi" w:cstheme="majorHAnsi"/>
                <w:b/>
              </w:rPr>
              <w:t>Programme de reconversion de l’irrigation de surface et par aspersion à l’irrigation localisée sur des superficies importantes pour l’agriculture et le maraîchage</w:t>
            </w:r>
          </w:p>
        </w:tc>
        <w:tc>
          <w:tcPr>
            <w:tcW w:w="1108" w:type="pct"/>
          </w:tcPr>
          <w:p w14:paraId="3A0FF2B5"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2 000 000,00</w:t>
            </w:r>
          </w:p>
        </w:tc>
        <w:tc>
          <w:tcPr>
            <w:tcW w:w="1052" w:type="pct"/>
            <w:shd w:val="clear" w:color="auto" w:fill="FFF2CC" w:themeFill="accent4" w:themeFillTint="33"/>
          </w:tcPr>
          <w:p w14:paraId="10DEE83E"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DNH/ DNA</w:t>
            </w:r>
          </w:p>
        </w:tc>
      </w:tr>
      <w:tr w:rsidR="00C03EC4" w:rsidRPr="002E75D4" w14:paraId="7CEC7CEB"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1E521C71" w14:textId="77777777" w:rsidR="00C03EC4" w:rsidRPr="002E75D4" w:rsidRDefault="00C03EC4" w:rsidP="000D6136">
            <w:pPr>
              <w:spacing w:before="240"/>
              <w:jc w:val="left"/>
              <w:rPr>
                <w:rFonts w:asciiTheme="majorHAnsi" w:hAnsiTheme="majorHAnsi" w:cstheme="majorHAnsi"/>
                <w:b/>
              </w:rPr>
            </w:pPr>
            <w:r w:rsidRPr="002E75D4">
              <w:rPr>
                <w:rFonts w:asciiTheme="majorHAnsi" w:hAnsiTheme="majorHAnsi" w:cstheme="majorHAnsi"/>
                <w:b/>
                <w:lang w:val="fr-ML"/>
              </w:rPr>
              <w:t>Programme climat de la compagnie malienne du développement du textile (CMDT) pour booster la promotion du coton au Mali.</w:t>
            </w:r>
          </w:p>
        </w:tc>
        <w:tc>
          <w:tcPr>
            <w:tcW w:w="1108" w:type="pct"/>
          </w:tcPr>
          <w:p w14:paraId="4F19DA24"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53 940 500,00</w:t>
            </w:r>
          </w:p>
        </w:tc>
        <w:tc>
          <w:tcPr>
            <w:tcW w:w="1052" w:type="pct"/>
            <w:shd w:val="clear" w:color="auto" w:fill="FFE599" w:themeFill="accent4" w:themeFillTint="66"/>
          </w:tcPr>
          <w:p w14:paraId="2DD26EAC"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CMDT et collectivités</w:t>
            </w:r>
          </w:p>
        </w:tc>
      </w:tr>
      <w:tr w:rsidR="00C03EC4" w:rsidRPr="002E75D4" w14:paraId="311FA543" w14:textId="77777777" w:rsidTr="000D6136">
        <w:tc>
          <w:tcPr>
            <w:tcW w:w="2840" w:type="pct"/>
            <w:tcBorders>
              <w:bottom w:val="single" w:sz="8" w:space="0" w:color="FFFFFF" w:themeColor="background1"/>
            </w:tcBorders>
            <w:shd w:val="clear" w:color="auto" w:fill="FFF3F3"/>
          </w:tcPr>
          <w:p w14:paraId="17814BAB" w14:textId="77777777" w:rsidR="00C03EC4" w:rsidRPr="002E75D4" w:rsidRDefault="00C03EC4" w:rsidP="000D6136">
            <w:pPr>
              <w:spacing w:before="240"/>
              <w:jc w:val="left"/>
              <w:rPr>
                <w:rFonts w:asciiTheme="majorHAnsi" w:hAnsiTheme="majorHAnsi" w:cstheme="majorHAnsi"/>
                <w:b/>
                <w:lang w:val="fr-ML"/>
              </w:rPr>
            </w:pPr>
            <w:r w:rsidRPr="002E75D4">
              <w:rPr>
                <w:rFonts w:asciiTheme="majorHAnsi" w:hAnsiTheme="majorHAnsi" w:cstheme="majorHAnsi"/>
                <w:b/>
                <w:lang w:val="fr-ML"/>
              </w:rPr>
              <w:t>Programme d’appui de renforcement de capacité en adaptation aux CC au MALI</w:t>
            </w:r>
          </w:p>
        </w:tc>
        <w:tc>
          <w:tcPr>
            <w:tcW w:w="1108" w:type="pct"/>
          </w:tcPr>
          <w:p w14:paraId="5640A22E"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5 000 000,00</w:t>
            </w:r>
          </w:p>
        </w:tc>
        <w:tc>
          <w:tcPr>
            <w:tcW w:w="1052" w:type="pct"/>
            <w:shd w:val="clear" w:color="auto" w:fill="FFF2CC" w:themeFill="accent4" w:themeFillTint="33"/>
          </w:tcPr>
          <w:p w14:paraId="089AAE5C"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AEDD, str techniques, Sté civile, CTs,</w:t>
            </w:r>
          </w:p>
        </w:tc>
      </w:tr>
      <w:tr w:rsidR="00C03EC4" w:rsidRPr="002E75D4" w14:paraId="2596C951"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tcBorders>
              <w:bottom w:val="nil"/>
            </w:tcBorders>
            <w:shd w:val="clear" w:color="auto" w:fill="FFE1E1"/>
          </w:tcPr>
          <w:p w14:paraId="2613CAC4" w14:textId="77777777" w:rsidR="00C03EC4" w:rsidRPr="002E75D4" w:rsidRDefault="00C03EC4" w:rsidP="000D6136">
            <w:pPr>
              <w:spacing w:before="240"/>
              <w:jc w:val="left"/>
              <w:rPr>
                <w:lang w:val="fr-ML"/>
              </w:rPr>
            </w:pPr>
            <w:r w:rsidRPr="002E75D4">
              <w:rPr>
                <w:lang w:val="fr-ML"/>
              </w:rPr>
              <w:t>La reconversion de l'irrigation de surface et par aspersion à l'irrigation localisée sur des superficies importantes pour l’agriculture et le maraichage</w:t>
            </w:r>
          </w:p>
        </w:tc>
        <w:tc>
          <w:tcPr>
            <w:tcW w:w="1108" w:type="pct"/>
          </w:tcPr>
          <w:p w14:paraId="6056895C" w14:textId="77777777" w:rsidR="00C03EC4" w:rsidRPr="002E75D4" w:rsidRDefault="00C03EC4" w:rsidP="000D6136">
            <w:pPr>
              <w:spacing w:before="240"/>
              <w:jc w:val="right"/>
              <w:rPr>
                <w:rFonts w:asciiTheme="majorHAnsi" w:hAnsiTheme="majorHAnsi" w:cstheme="majorHAnsi"/>
                <w:b/>
                <w:lang w:val="fr-ML"/>
              </w:rPr>
            </w:pPr>
            <w:r w:rsidRPr="002E75D4">
              <w:rPr>
                <w:rFonts w:asciiTheme="majorHAnsi" w:hAnsiTheme="majorHAnsi" w:cstheme="majorHAnsi"/>
                <w:b/>
                <w:lang w:val="fr-ML"/>
              </w:rPr>
              <w:t>1,0milliard de $US;</w:t>
            </w:r>
          </w:p>
        </w:tc>
        <w:tc>
          <w:tcPr>
            <w:tcW w:w="1052" w:type="pct"/>
            <w:shd w:val="clear" w:color="auto" w:fill="FFE599" w:themeFill="accent4" w:themeFillTint="66"/>
          </w:tcPr>
          <w:p w14:paraId="72E06530" w14:textId="77777777" w:rsidR="00C03EC4" w:rsidRPr="002E75D4" w:rsidRDefault="00C03EC4" w:rsidP="000D6136">
            <w:pPr>
              <w:spacing w:before="240"/>
              <w:rPr>
                <w:rFonts w:asciiTheme="majorHAnsi" w:hAnsiTheme="majorHAnsi" w:cstheme="majorHAnsi"/>
                <w:b/>
                <w:lang w:val="fr-ML"/>
              </w:rPr>
            </w:pPr>
            <w:r w:rsidRPr="002E75D4">
              <w:rPr>
                <w:rFonts w:asciiTheme="majorHAnsi" w:hAnsiTheme="majorHAnsi" w:cstheme="majorHAnsi"/>
                <w:b/>
              </w:rPr>
              <w:t>DNA</w:t>
            </w:r>
          </w:p>
        </w:tc>
      </w:tr>
      <w:tr w:rsidR="00C03EC4" w:rsidRPr="002E75D4" w14:paraId="4F234825" w14:textId="77777777" w:rsidTr="000D6136">
        <w:trPr>
          <w:trHeight w:val="759"/>
        </w:trPr>
        <w:tc>
          <w:tcPr>
            <w:tcW w:w="2840" w:type="pct"/>
            <w:tcBorders>
              <w:top w:val="nil"/>
            </w:tcBorders>
            <w:shd w:val="clear" w:color="auto" w:fill="FFF3F3"/>
          </w:tcPr>
          <w:p w14:paraId="24B5EB0A" w14:textId="77777777" w:rsidR="00C03EC4" w:rsidRPr="002E75D4" w:rsidRDefault="00C03EC4" w:rsidP="000D6136">
            <w:pPr>
              <w:spacing w:before="240"/>
              <w:jc w:val="left"/>
              <w:rPr>
                <w:lang w:val="fr-BE"/>
              </w:rPr>
            </w:pPr>
            <w:r w:rsidRPr="002E75D4">
              <w:rPr>
                <w:lang w:val="fr-BE"/>
              </w:rPr>
              <w:t xml:space="preserve">La mise en œuvre du Plan d’action technologique pour l’adaptation </w:t>
            </w:r>
          </w:p>
        </w:tc>
        <w:tc>
          <w:tcPr>
            <w:tcW w:w="1108" w:type="pct"/>
          </w:tcPr>
          <w:p w14:paraId="7206A477" w14:textId="77777777" w:rsidR="00C03EC4" w:rsidRPr="002E75D4" w:rsidRDefault="00C03EC4" w:rsidP="000D6136">
            <w:pPr>
              <w:spacing w:before="240"/>
              <w:jc w:val="right"/>
              <w:rPr>
                <w:rFonts w:asciiTheme="majorHAnsi" w:hAnsiTheme="majorHAnsi" w:cstheme="majorHAnsi"/>
                <w:b/>
                <w:kern w:val="18"/>
                <w:lang w:val="fr-BE"/>
              </w:rPr>
            </w:pPr>
            <w:r w:rsidRPr="002E75D4">
              <w:rPr>
                <w:rFonts w:asciiTheme="majorHAnsi" w:hAnsiTheme="majorHAnsi" w:cstheme="majorHAnsi"/>
                <w:b/>
                <w:kern w:val="18"/>
                <w:lang w:val="fr-BE"/>
              </w:rPr>
              <w:t>1.0millard de $US</w:t>
            </w:r>
          </w:p>
        </w:tc>
        <w:tc>
          <w:tcPr>
            <w:tcW w:w="1052" w:type="pct"/>
            <w:shd w:val="clear" w:color="auto" w:fill="FFF2CC" w:themeFill="accent4" w:themeFillTint="33"/>
          </w:tcPr>
          <w:p w14:paraId="03E04E2A" w14:textId="77777777" w:rsidR="00C03EC4" w:rsidRPr="002E75D4" w:rsidRDefault="00C03EC4" w:rsidP="000D6136">
            <w:pPr>
              <w:spacing w:before="240"/>
              <w:rPr>
                <w:rFonts w:asciiTheme="majorHAnsi" w:hAnsiTheme="majorHAnsi" w:cstheme="majorHAnsi"/>
                <w:b/>
                <w:kern w:val="18"/>
                <w:lang w:val="fr-BE"/>
              </w:rPr>
            </w:pPr>
            <w:r w:rsidRPr="002E75D4">
              <w:rPr>
                <w:rFonts w:asciiTheme="majorHAnsi" w:hAnsiTheme="majorHAnsi" w:cstheme="majorHAnsi"/>
                <w:b/>
                <w:kern w:val="18"/>
                <w:lang w:val="fr-BE"/>
              </w:rPr>
              <w:t>AEDD</w:t>
            </w:r>
          </w:p>
        </w:tc>
      </w:tr>
      <w:tr w:rsidR="00C03EC4" w:rsidRPr="002E75D4" w14:paraId="2F36CA31" w14:textId="77777777" w:rsidTr="000D6136">
        <w:trPr>
          <w:cnfStyle w:val="000000100000" w:firstRow="0" w:lastRow="0" w:firstColumn="0" w:lastColumn="0" w:oddVBand="0" w:evenVBand="0" w:oddHBand="1" w:evenHBand="0" w:firstRowFirstColumn="0" w:firstRowLastColumn="0" w:lastRowFirstColumn="0" w:lastRowLastColumn="0"/>
          <w:trHeight w:val="1494"/>
        </w:trPr>
        <w:tc>
          <w:tcPr>
            <w:tcW w:w="2840" w:type="pct"/>
            <w:shd w:val="clear" w:color="auto" w:fill="FFE1E1"/>
          </w:tcPr>
          <w:p w14:paraId="179397B3"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Programme de Renforcement de la Résilience des Communautés Agro-pastorales Vulnérables du Sahel occidental face aux Effets Négatifs des Changements Climatiques</w:t>
            </w:r>
          </w:p>
        </w:tc>
        <w:tc>
          <w:tcPr>
            <w:tcW w:w="1108" w:type="pct"/>
          </w:tcPr>
          <w:p w14:paraId="142F62DB"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1 000 000</w:t>
            </w:r>
          </w:p>
        </w:tc>
        <w:tc>
          <w:tcPr>
            <w:tcW w:w="1052" w:type="pct"/>
            <w:shd w:val="clear" w:color="auto" w:fill="FFE599" w:themeFill="accent4" w:themeFillTint="66"/>
          </w:tcPr>
          <w:p w14:paraId="78F02134"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DNPIA</w:t>
            </w:r>
          </w:p>
        </w:tc>
      </w:tr>
      <w:tr w:rsidR="00C03EC4" w:rsidRPr="002E75D4" w14:paraId="2B2FD487" w14:textId="77777777" w:rsidTr="000D6136">
        <w:tc>
          <w:tcPr>
            <w:tcW w:w="5000" w:type="pct"/>
            <w:gridSpan w:val="3"/>
            <w:shd w:val="clear" w:color="auto" w:fill="BFBFBF" w:themeFill="background1" w:themeFillShade="BF"/>
          </w:tcPr>
          <w:p w14:paraId="63F78ED8"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Projets dans le domaine de l’énergie</w:t>
            </w:r>
          </w:p>
        </w:tc>
      </w:tr>
      <w:tr w:rsidR="00C03EC4" w:rsidRPr="002E75D4" w14:paraId="1DE359D3"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64F913A3" w14:textId="77777777" w:rsidR="00C03EC4" w:rsidRPr="002E75D4" w:rsidRDefault="00C03EC4" w:rsidP="000D6136">
            <w:pPr>
              <w:spacing w:before="240"/>
              <w:jc w:val="both"/>
              <w:rPr>
                <w:rFonts w:asciiTheme="majorHAnsi" w:hAnsiTheme="majorHAnsi" w:cstheme="majorHAnsi"/>
                <w:b/>
                <w:u w:val="single"/>
              </w:rPr>
            </w:pPr>
            <w:r w:rsidRPr="002E75D4">
              <w:rPr>
                <w:rFonts w:asciiTheme="majorHAnsi" w:hAnsiTheme="majorHAnsi" w:cstheme="majorHAnsi"/>
                <w:b/>
              </w:rPr>
              <w:t>Projet d'Accès à l’Energie Durable pour tous et Diffusion des Technologies à Bioénergie (Faso Bio 15 &amp; Lorena) dans certaines Communes du Mali</w:t>
            </w:r>
          </w:p>
        </w:tc>
        <w:tc>
          <w:tcPr>
            <w:tcW w:w="1108" w:type="pct"/>
          </w:tcPr>
          <w:p w14:paraId="427330D4"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9 400 000</w:t>
            </w:r>
          </w:p>
        </w:tc>
        <w:tc>
          <w:tcPr>
            <w:tcW w:w="1052" w:type="pct"/>
            <w:shd w:val="clear" w:color="auto" w:fill="FFE599" w:themeFill="accent4" w:themeFillTint="66"/>
          </w:tcPr>
          <w:p w14:paraId="5824FBF9"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DNE</w:t>
            </w:r>
          </w:p>
        </w:tc>
      </w:tr>
      <w:tr w:rsidR="00C03EC4" w:rsidRPr="002E75D4" w14:paraId="1DC3AD54" w14:textId="77777777" w:rsidTr="000D6136">
        <w:tc>
          <w:tcPr>
            <w:tcW w:w="2840" w:type="pct"/>
            <w:shd w:val="clear" w:color="auto" w:fill="FFF3F3"/>
          </w:tcPr>
          <w:p w14:paraId="35F9A960" w14:textId="77777777" w:rsidR="00C03EC4" w:rsidRPr="002E75D4" w:rsidRDefault="00C03EC4" w:rsidP="000D6136">
            <w:pPr>
              <w:spacing w:before="240"/>
              <w:jc w:val="both"/>
              <w:rPr>
                <w:rFonts w:asciiTheme="majorHAnsi" w:hAnsiTheme="majorHAnsi" w:cstheme="majorHAnsi"/>
                <w:b/>
                <w:u w:val="single"/>
              </w:rPr>
            </w:pPr>
            <w:r w:rsidRPr="002E75D4">
              <w:rPr>
                <w:rFonts w:asciiTheme="majorHAnsi" w:hAnsiTheme="majorHAnsi" w:cstheme="majorHAnsi"/>
                <w:b/>
              </w:rPr>
              <w:t>Projet Multi-Energies pour la Résilience et la gestion Intégrée des Terroirs (MERIT),</w:t>
            </w:r>
          </w:p>
        </w:tc>
        <w:tc>
          <w:tcPr>
            <w:tcW w:w="1108" w:type="pct"/>
          </w:tcPr>
          <w:p w14:paraId="45E3AAC8"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22 225 000</w:t>
            </w:r>
          </w:p>
        </w:tc>
        <w:tc>
          <w:tcPr>
            <w:tcW w:w="1052" w:type="pct"/>
            <w:shd w:val="clear" w:color="auto" w:fill="FFF2CC" w:themeFill="accent4" w:themeFillTint="33"/>
          </w:tcPr>
          <w:p w14:paraId="4A1B8B81"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DNE</w:t>
            </w:r>
          </w:p>
        </w:tc>
      </w:tr>
      <w:tr w:rsidR="00C03EC4" w:rsidRPr="002E75D4" w14:paraId="21A1C1C0" w14:textId="77777777" w:rsidTr="000D6136">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BFBFBF" w:themeFill="background1" w:themeFillShade="BF"/>
          </w:tcPr>
          <w:p w14:paraId="76DD44B5" w14:textId="77777777" w:rsidR="00C03EC4" w:rsidRPr="002E75D4" w:rsidRDefault="00C03EC4" w:rsidP="000D6136">
            <w:pPr>
              <w:spacing w:before="240"/>
              <w:rPr>
                <w:rFonts w:asciiTheme="majorHAnsi" w:hAnsiTheme="majorHAnsi" w:cstheme="majorHAnsi"/>
                <w:b/>
                <w:u w:val="single"/>
              </w:rPr>
            </w:pPr>
            <w:r w:rsidRPr="002E75D4">
              <w:rPr>
                <w:rFonts w:asciiTheme="majorHAnsi" w:hAnsiTheme="majorHAnsi" w:cstheme="majorHAnsi"/>
                <w:b/>
              </w:rPr>
              <w:t>Projet de la Météo</w:t>
            </w:r>
          </w:p>
        </w:tc>
      </w:tr>
      <w:tr w:rsidR="00C03EC4" w:rsidRPr="002E75D4" w14:paraId="582D7E20" w14:textId="77777777" w:rsidTr="000D6136">
        <w:tc>
          <w:tcPr>
            <w:tcW w:w="2840" w:type="pct"/>
            <w:shd w:val="clear" w:color="auto" w:fill="FFF3F3"/>
          </w:tcPr>
          <w:p w14:paraId="5592AF1A" w14:textId="77777777" w:rsidR="00C03EC4" w:rsidRPr="002E75D4" w:rsidRDefault="00C03EC4" w:rsidP="000D6136">
            <w:pPr>
              <w:spacing w:before="240"/>
              <w:jc w:val="both"/>
              <w:rPr>
                <w:rFonts w:asciiTheme="majorHAnsi" w:hAnsiTheme="majorHAnsi" w:cstheme="majorHAnsi"/>
                <w:b/>
                <w:u w:val="single"/>
              </w:rPr>
            </w:pPr>
            <w:r w:rsidRPr="002E75D4">
              <w:rPr>
                <w:rFonts w:asciiTheme="majorHAnsi" w:hAnsiTheme="majorHAnsi" w:cstheme="majorHAnsi"/>
                <w:b/>
                <w:lang w:val="fr-ML"/>
              </w:rPr>
              <w:t xml:space="preserve">Programme de renforcement des capacités techniques, de collecte et de traitement des données et informations sur le climat </w:t>
            </w:r>
            <w:r w:rsidRPr="002E75D4">
              <w:rPr>
                <w:rFonts w:asciiTheme="majorHAnsi" w:hAnsiTheme="majorHAnsi" w:cstheme="majorHAnsi"/>
                <w:b/>
              </w:rPr>
              <w:t>(réhabilitation, création de station, formation, équipements)</w:t>
            </w:r>
          </w:p>
        </w:tc>
        <w:tc>
          <w:tcPr>
            <w:tcW w:w="1108" w:type="pct"/>
          </w:tcPr>
          <w:p w14:paraId="775455CE"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8 000 000,00</w:t>
            </w:r>
          </w:p>
        </w:tc>
        <w:tc>
          <w:tcPr>
            <w:tcW w:w="1052" w:type="pct"/>
            <w:shd w:val="clear" w:color="auto" w:fill="FFF2CC" w:themeFill="accent4" w:themeFillTint="33"/>
          </w:tcPr>
          <w:p w14:paraId="796CA61C"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Mali-METEO</w:t>
            </w:r>
          </w:p>
        </w:tc>
      </w:tr>
      <w:tr w:rsidR="00C03EC4" w:rsidRPr="002E75D4" w14:paraId="64B7AF66" w14:textId="77777777" w:rsidTr="000D6136">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BFBFBF" w:themeFill="background1" w:themeFillShade="BF"/>
          </w:tcPr>
          <w:p w14:paraId="644C7880"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Projets de la société civile et des collectivités territoriales</w:t>
            </w:r>
          </w:p>
        </w:tc>
      </w:tr>
      <w:tr w:rsidR="00C03EC4" w:rsidRPr="002E75D4" w14:paraId="4E700FA2" w14:textId="77777777" w:rsidTr="000D6136">
        <w:tc>
          <w:tcPr>
            <w:tcW w:w="2840" w:type="pct"/>
            <w:shd w:val="clear" w:color="auto" w:fill="FFF3F3"/>
          </w:tcPr>
          <w:p w14:paraId="75D0C148" w14:textId="77777777" w:rsidR="00C03EC4" w:rsidRPr="002E75D4" w:rsidRDefault="00C03EC4" w:rsidP="000D6136">
            <w:pPr>
              <w:spacing w:before="240"/>
              <w:jc w:val="both"/>
              <w:rPr>
                <w:rFonts w:asciiTheme="majorHAnsi" w:hAnsiTheme="majorHAnsi" w:cstheme="majorHAnsi"/>
                <w:b/>
                <w:u w:val="single"/>
              </w:rPr>
            </w:pPr>
            <w:r w:rsidRPr="002E75D4">
              <w:rPr>
                <w:rFonts w:asciiTheme="majorHAnsi" w:hAnsiTheme="majorHAnsi" w:cstheme="majorHAnsi"/>
                <w:b/>
              </w:rPr>
              <w:t>P</w:t>
            </w:r>
            <w:r w:rsidRPr="002E75D4">
              <w:rPr>
                <w:rFonts w:asciiTheme="majorHAnsi" w:hAnsiTheme="majorHAnsi" w:cstheme="majorHAnsi"/>
                <w:b/>
                <w:bdr w:val="none" w:sz="0" w:space="0" w:color="auto" w:frame="1"/>
              </w:rPr>
              <w:t>rogramme d’Appui à l’Adaptation aux Changements Climatiques dans la zone sahélienne du Mali (PAACC/ Sahel),</w:t>
            </w:r>
          </w:p>
        </w:tc>
        <w:tc>
          <w:tcPr>
            <w:tcW w:w="1108" w:type="pct"/>
          </w:tcPr>
          <w:p w14:paraId="6493D034"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2 000 000,00</w:t>
            </w:r>
          </w:p>
        </w:tc>
        <w:tc>
          <w:tcPr>
            <w:tcW w:w="1052" w:type="pct"/>
            <w:shd w:val="clear" w:color="auto" w:fill="FFF2CC" w:themeFill="accent4" w:themeFillTint="33"/>
          </w:tcPr>
          <w:p w14:paraId="15A74E35"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Société civile et CT</w:t>
            </w:r>
          </w:p>
        </w:tc>
      </w:tr>
      <w:tr w:rsidR="00C03EC4" w:rsidRPr="002E75D4" w14:paraId="2DCBF664"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3C14A586" w14:textId="77777777" w:rsidR="00C03EC4" w:rsidRPr="002E75D4" w:rsidRDefault="00C03EC4" w:rsidP="000D6136">
            <w:pPr>
              <w:spacing w:before="240"/>
              <w:jc w:val="both"/>
              <w:rPr>
                <w:rFonts w:asciiTheme="majorHAnsi" w:hAnsiTheme="majorHAnsi" w:cstheme="majorHAnsi"/>
                <w:b/>
                <w:u w:val="single"/>
              </w:rPr>
            </w:pPr>
            <w:r w:rsidRPr="002E75D4">
              <w:rPr>
                <w:rFonts w:asciiTheme="majorHAnsi" w:hAnsiTheme="majorHAnsi" w:cstheme="majorHAnsi"/>
                <w:b/>
              </w:rPr>
              <w:t>Programme d’Appui à l’Amélioration de l’Environnement à travers les Actions Communautaires (PAEAC),</w:t>
            </w:r>
          </w:p>
        </w:tc>
        <w:tc>
          <w:tcPr>
            <w:tcW w:w="1108" w:type="pct"/>
          </w:tcPr>
          <w:p w14:paraId="7F1EE031"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4 000 000,00</w:t>
            </w:r>
          </w:p>
        </w:tc>
        <w:tc>
          <w:tcPr>
            <w:tcW w:w="1052" w:type="pct"/>
            <w:shd w:val="clear" w:color="auto" w:fill="FFE599" w:themeFill="accent4" w:themeFillTint="66"/>
          </w:tcPr>
          <w:p w14:paraId="5E8BA1D3"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Société civile et CT</w:t>
            </w:r>
          </w:p>
        </w:tc>
      </w:tr>
      <w:tr w:rsidR="00C03EC4" w:rsidRPr="002E75D4" w14:paraId="21E784FF" w14:textId="77777777" w:rsidTr="000D6136">
        <w:tc>
          <w:tcPr>
            <w:tcW w:w="2840" w:type="pct"/>
            <w:shd w:val="clear" w:color="auto" w:fill="FFF3F3"/>
          </w:tcPr>
          <w:p w14:paraId="04B832E6" w14:textId="77777777" w:rsidR="00C03EC4" w:rsidRPr="002E75D4" w:rsidRDefault="00C03EC4" w:rsidP="000D6136">
            <w:pPr>
              <w:spacing w:before="240"/>
              <w:jc w:val="both"/>
              <w:rPr>
                <w:rFonts w:asciiTheme="majorHAnsi" w:hAnsiTheme="majorHAnsi" w:cstheme="majorHAnsi"/>
                <w:b/>
                <w:u w:val="single"/>
              </w:rPr>
            </w:pPr>
            <w:r w:rsidRPr="002E75D4">
              <w:rPr>
                <w:rFonts w:asciiTheme="majorHAnsi" w:hAnsiTheme="majorHAnsi" w:cstheme="majorHAnsi"/>
                <w:b/>
              </w:rPr>
              <w:t>Programme de Gouvernance des Ressources Naturelles dans les Cercles de Nara et de Banamba</w:t>
            </w:r>
          </w:p>
        </w:tc>
        <w:tc>
          <w:tcPr>
            <w:tcW w:w="1108" w:type="pct"/>
          </w:tcPr>
          <w:p w14:paraId="2985497E"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13 819140,00</w:t>
            </w:r>
          </w:p>
        </w:tc>
        <w:tc>
          <w:tcPr>
            <w:tcW w:w="1052" w:type="pct"/>
            <w:shd w:val="clear" w:color="auto" w:fill="FFF2CC" w:themeFill="accent4" w:themeFillTint="33"/>
          </w:tcPr>
          <w:p w14:paraId="7961397E"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Société civile et CT</w:t>
            </w:r>
          </w:p>
        </w:tc>
      </w:tr>
      <w:tr w:rsidR="00C03EC4" w:rsidRPr="002E75D4" w14:paraId="14E78E72"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49E5E59B" w14:textId="77777777" w:rsidR="00C03EC4" w:rsidRPr="002E75D4" w:rsidRDefault="00C03EC4" w:rsidP="000D6136">
            <w:pPr>
              <w:spacing w:before="240"/>
              <w:jc w:val="both"/>
              <w:rPr>
                <w:rFonts w:asciiTheme="majorHAnsi" w:hAnsiTheme="majorHAnsi" w:cstheme="majorHAnsi"/>
                <w:b/>
                <w:u w:val="single"/>
              </w:rPr>
            </w:pPr>
            <w:r w:rsidRPr="002E75D4">
              <w:rPr>
                <w:rFonts w:asciiTheme="majorHAnsi" w:hAnsiTheme="majorHAnsi" w:cstheme="majorHAnsi"/>
                <w:b/>
              </w:rPr>
              <w:t>Programme sous régional de Plaidoyer et de Renforcement des capacités « Voie des citoyens pour les changements climatiques » (Mali, Burkina, Benin, Cote d’Ivoire)</w:t>
            </w:r>
          </w:p>
        </w:tc>
        <w:tc>
          <w:tcPr>
            <w:tcW w:w="1108" w:type="pct"/>
          </w:tcPr>
          <w:p w14:paraId="13A64347"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4 000 000,00</w:t>
            </w:r>
          </w:p>
        </w:tc>
        <w:tc>
          <w:tcPr>
            <w:tcW w:w="1052" w:type="pct"/>
            <w:shd w:val="clear" w:color="auto" w:fill="FFE599" w:themeFill="accent4" w:themeFillTint="66"/>
          </w:tcPr>
          <w:p w14:paraId="6C6FB7B5"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Société civile et CT</w:t>
            </w:r>
          </w:p>
        </w:tc>
      </w:tr>
      <w:tr w:rsidR="00C03EC4" w:rsidRPr="002E75D4" w14:paraId="5EF5E518" w14:textId="77777777" w:rsidTr="000D6136">
        <w:tc>
          <w:tcPr>
            <w:tcW w:w="2840" w:type="pct"/>
            <w:shd w:val="clear" w:color="auto" w:fill="FFF3F3"/>
          </w:tcPr>
          <w:p w14:paraId="12507047" w14:textId="77777777" w:rsidR="00C03EC4" w:rsidRPr="002E75D4" w:rsidRDefault="00C03EC4" w:rsidP="000D6136">
            <w:pPr>
              <w:spacing w:before="240"/>
              <w:jc w:val="both"/>
              <w:rPr>
                <w:rFonts w:asciiTheme="majorHAnsi" w:hAnsiTheme="majorHAnsi" w:cstheme="majorHAnsi"/>
                <w:b/>
                <w:u w:val="single"/>
              </w:rPr>
            </w:pPr>
            <w:r w:rsidRPr="002E75D4">
              <w:rPr>
                <w:rFonts w:asciiTheme="majorHAnsi" w:hAnsiTheme="majorHAnsi" w:cstheme="majorHAnsi"/>
                <w:b/>
              </w:rPr>
              <w:t>Programme de Renforcement de la Résilience des Communautés Agro-pastorales Vulnérables du Sahel occidental face aux Effets Négatifs des Changements Climatiques</w:t>
            </w:r>
          </w:p>
        </w:tc>
        <w:tc>
          <w:tcPr>
            <w:tcW w:w="1108" w:type="pct"/>
          </w:tcPr>
          <w:p w14:paraId="32F0047F"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1 000 000,00</w:t>
            </w:r>
          </w:p>
        </w:tc>
        <w:tc>
          <w:tcPr>
            <w:tcW w:w="1052" w:type="pct"/>
            <w:shd w:val="clear" w:color="auto" w:fill="FFF2CC" w:themeFill="accent4" w:themeFillTint="33"/>
          </w:tcPr>
          <w:p w14:paraId="3CE95886"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Société civile et CT</w:t>
            </w:r>
          </w:p>
        </w:tc>
      </w:tr>
      <w:tr w:rsidR="00C03EC4" w:rsidRPr="002E75D4" w14:paraId="5717E060" w14:textId="77777777" w:rsidTr="000D6136">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BFBFBF" w:themeFill="background1" w:themeFillShade="BF"/>
          </w:tcPr>
          <w:p w14:paraId="1A62B073"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Projets dans le domaine des déchets</w:t>
            </w:r>
          </w:p>
        </w:tc>
      </w:tr>
      <w:tr w:rsidR="00C03EC4" w:rsidRPr="002E75D4" w14:paraId="59B1584C" w14:textId="77777777" w:rsidTr="000D6136">
        <w:tc>
          <w:tcPr>
            <w:tcW w:w="2840" w:type="pct"/>
            <w:shd w:val="clear" w:color="auto" w:fill="FFF3F3"/>
          </w:tcPr>
          <w:p w14:paraId="4A07B058"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Réduction de la pollution de l’air et des eaux liée à l’usage des pesticides et autres produits nuisibles.</w:t>
            </w:r>
          </w:p>
        </w:tc>
        <w:tc>
          <w:tcPr>
            <w:tcW w:w="1108" w:type="pct"/>
          </w:tcPr>
          <w:p w14:paraId="24050845" w14:textId="77777777" w:rsidR="00C03EC4" w:rsidRPr="002E75D4" w:rsidRDefault="00C03EC4" w:rsidP="000D6136">
            <w:pPr>
              <w:spacing w:before="240"/>
              <w:jc w:val="right"/>
              <w:rPr>
                <w:rFonts w:asciiTheme="majorHAnsi" w:hAnsiTheme="majorHAnsi" w:cstheme="majorHAnsi"/>
                <w:b/>
                <w:u w:val="single"/>
              </w:rPr>
            </w:pPr>
            <w:r w:rsidRPr="002E75D4">
              <w:rPr>
                <w:rFonts w:asciiTheme="majorHAnsi" w:hAnsiTheme="majorHAnsi" w:cstheme="majorHAnsi"/>
                <w:b/>
              </w:rPr>
              <w:t>0.3milliard de $US</w:t>
            </w:r>
          </w:p>
        </w:tc>
        <w:tc>
          <w:tcPr>
            <w:tcW w:w="1052" w:type="pct"/>
            <w:shd w:val="clear" w:color="auto" w:fill="FFF2CC" w:themeFill="accent4" w:themeFillTint="33"/>
          </w:tcPr>
          <w:p w14:paraId="701B12E9"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DNACPN</w:t>
            </w:r>
          </w:p>
        </w:tc>
      </w:tr>
      <w:tr w:rsidR="00C03EC4" w:rsidRPr="002E75D4" w14:paraId="49101BAD"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03954BEE"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L’Épuration des eaux usées et leur réutilisation pour des besoins notamment pour l’irrigation pour l’irrigation</w:t>
            </w:r>
          </w:p>
        </w:tc>
        <w:tc>
          <w:tcPr>
            <w:tcW w:w="1108" w:type="pct"/>
          </w:tcPr>
          <w:p w14:paraId="118EA7A8"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0,5 milliard de $US</w:t>
            </w:r>
          </w:p>
        </w:tc>
        <w:tc>
          <w:tcPr>
            <w:tcW w:w="1052" w:type="pct"/>
            <w:shd w:val="clear" w:color="auto" w:fill="FFE599" w:themeFill="accent4" w:themeFillTint="66"/>
          </w:tcPr>
          <w:p w14:paraId="28C2825E"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DNACPN</w:t>
            </w:r>
          </w:p>
        </w:tc>
      </w:tr>
      <w:tr w:rsidR="00C03EC4" w:rsidRPr="002E75D4" w14:paraId="4B8AB1C5" w14:textId="77777777" w:rsidTr="000D6136">
        <w:tc>
          <w:tcPr>
            <w:tcW w:w="2840" w:type="pct"/>
            <w:shd w:val="clear" w:color="auto" w:fill="FFF3F3"/>
          </w:tcPr>
          <w:p w14:paraId="0A029949"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L’aménagement des collecteurs Banconi, Molobalini, Foloni, Dougouradji et Bamafalani dans le district de Bamako pour la protection contre les risques d’inondations</w:t>
            </w:r>
          </w:p>
        </w:tc>
        <w:tc>
          <w:tcPr>
            <w:tcW w:w="1108" w:type="pct"/>
          </w:tcPr>
          <w:p w14:paraId="20BF4C67"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35 millions de $US</w:t>
            </w:r>
          </w:p>
        </w:tc>
        <w:tc>
          <w:tcPr>
            <w:tcW w:w="1052" w:type="pct"/>
            <w:shd w:val="clear" w:color="auto" w:fill="FFF2CC" w:themeFill="accent4" w:themeFillTint="33"/>
          </w:tcPr>
          <w:p w14:paraId="65E2DED0"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DNACPN</w:t>
            </w:r>
          </w:p>
        </w:tc>
      </w:tr>
      <w:tr w:rsidR="00C03EC4" w:rsidRPr="002E75D4" w14:paraId="13483128"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22D2B519"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L’aménagement du collecteur Kotroni à Sikasso pour la protection contre les risques d’inondations</w:t>
            </w:r>
          </w:p>
        </w:tc>
        <w:tc>
          <w:tcPr>
            <w:tcW w:w="1108" w:type="pct"/>
          </w:tcPr>
          <w:p w14:paraId="087A5474"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15 millions de $US</w:t>
            </w:r>
          </w:p>
        </w:tc>
        <w:tc>
          <w:tcPr>
            <w:tcW w:w="1052" w:type="pct"/>
            <w:shd w:val="clear" w:color="auto" w:fill="FFE599" w:themeFill="accent4" w:themeFillTint="66"/>
          </w:tcPr>
          <w:p w14:paraId="5806ADD9"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DNACPN</w:t>
            </w:r>
          </w:p>
        </w:tc>
      </w:tr>
      <w:tr w:rsidR="00C03EC4" w:rsidRPr="002E75D4" w14:paraId="1786C505" w14:textId="77777777" w:rsidTr="000D6136">
        <w:tc>
          <w:tcPr>
            <w:tcW w:w="2840" w:type="pct"/>
            <w:shd w:val="clear" w:color="auto" w:fill="FFF3F3"/>
          </w:tcPr>
          <w:p w14:paraId="53927E68"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L’aménagement du collecteur Lotio à Sikasso pour la protection contre les risques d’inondations</w:t>
            </w:r>
          </w:p>
        </w:tc>
        <w:tc>
          <w:tcPr>
            <w:tcW w:w="1108" w:type="pct"/>
          </w:tcPr>
          <w:p w14:paraId="3608426F"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10 millions de $US</w:t>
            </w:r>
          </w:p>
        </w:tc>
        <w:tc>
          <w:tcPr>
            <w:tcW w:w="1052" w:type="pct"/>
            <w:shd w:val="clear" w:color="auto" w:fill="FFF2CC" w:themeFill="accent4" w:themeFillTint="33"/>
          </w:tcPr>
          <w:p w14:paraId="75E97051"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DNACPN</w:t>
            </w:r>
          </w:p>
        </w:tc>
      </w:tr>
      <w:tr w:rsidR="00C03EC4" w:rsidRPr="002E75D4" w14:paraId="64A8CF2F"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28411261"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Programme intégré de ramassage et de transformation des déchets plastiques urbains au niveau industriel par les techniques développées par Mamaplastico à Bamako</w:t>
            </w:r>
          </w:p>
        </w:tc>
        <w:tc>
          <w:tcPr>
            <w:tcW w:w="1108" w:type="pct"/>
          </w:tcPr>
          <w:p w14:paraId="636AEA9A"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0,5 milliard de $US</w:t>
            </w:r>
          </w:p>
        </w:tc>
        <w:tc>
          <w:tcPr>
            <w:tcW w:w="1052" w:type="pct"/>
            <w:shd w:val="clear" w:color="auto" w:fill="FFE599" w:themeFill="accent4" w:themeFillTint="66"/>
          </w:tcPr>
          <w:p w14:paraId="17B70E35"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Société SIGMA</w:t>
            </w:r>
          </w:p>
        </w:tc>
      </w:tr>
      <w:tr w:rsidR="00C03EC4" w:rsidRPr="002E75D4" w14:paraId="7F9BAA1A" w14:textId="77777777" w:rsidTr="000D6136">
        <w:tc>
          <w:tcPr>
            <w:tcW w:w="2840" w:type="pct"/>
            <w:shd w:val="clear" w:color="auto" w:fill="FFF3F3"/>
          </w:tcPr>
          <w:p w14:paraId="3B21264D"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 xml:space="preserve"> Oxalor-Pyrocox :  Projet de gestion intégrée des déchets solides ménagers les six communes du district de Bamako et dans quelques régions du Mali à savoir Kayes, Sikasso, Ségou et Mopti, </w:t>
            </w:r>
          </w:p>
        </w:tc>
        <w:tc>
          <w:tcPr>
            <w:tcW w:w="1108" w:type="pct"/>
          </w:tcPr>
          <w:p w14:paraId="01C724DA"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 xml:space="preserve">262 millions de   $US </w:t>
            </w:r>
          </w:p>
        </w:tc>
        <w:tc>
          <w:tcPr>
            <w:tcW w:w="1052" w:type="pct"/>
            <w:shd w:val="clear" w:color="auto" w:fill="FFF2CC" w:themeFill="accent4" w:themeFillTint="33"/>
          </w:tcPr>
          <w:p w14:paraId="4FDD809B"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Oxalor-Pyrocox</w:t>
            </w:r>
          </w:p>
        </w:tc>
      </w:tr>
      <w:tr w:rsidR="00C03EC4" w:rsidRPr="002E75D4" w14:paraId="63BF971E" w14:textId="77777777" w:rsidTr="000D6136">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BFBFBF" w:themeFill="background1" w:themeFillShade="BF"/>
          </w:tcPr>
          <w:p w14:paraId="11D99897"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Projets dans le domaine de renforcement des capacités</w:t>
            </w:r>
          </w:p>
        </w:tc>
      </w:tr>
      <w:tr w:rsidR="00C03EC4" w:rsidRPr="002E75D4" w14:paraId="08C5383B" w14:textId="77777777" w:rsidTr="000D6136">
        <w:tc>
          <w:tcPr>
            <w:tcW w:w="2840" w:type="pct"/>
            <w:shd w:val="clear" w:color="auto" w:fill="FFF3F3"/>
          </w:tcPr>
          <w:p w14:paraId="481557ED"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Programme sous régional de Plaidoyer et de Renforcement des capacités « Voie des citoyens pour les changements climatiques » (Mali, Burkina, Benin, Cote d’Ivoire)</w:t>
            </w:r>
          </w:p>
        </w:tc>
        <w:tc>
          <w:tcPr>
            <w:tcW w:w="1108" w:type="pct"/>
          </w:tcPr>
          <w:p w14:paraId="75DB0CDD"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4 000 000</w:t>
            </w:r>
          </w:p>
        </w:tc>
        <w:tc>
          <w:tcPr>
            <w:tcW w:w="1052" w:type="pct"/>
            <w:shd w:val="clear" w:color="auto" w:fill="FFF2CC" w:themeFill="accent4" w:themeFillTint="33"/>
          </w:tcPr>
          <w:p w14:paraId="6F897E75" w14:textId="77777777" w:rsidR="00C03EC4" w:rsidRPr="002E75D4" w:rsidRDefault="00C03EC4" w:rsidP="000D6136">
            <w:pPr>
              <w:spacing w:before="240"/>
              <w:rPr>
                <w:rFonts w:asciiTheme="majorHAnsi" w:hAnsiTheme="majorHAnsi" w:cstheme="majorHAnsi"/>
                <w:b/>
              </w:rPr>
            </w:pPr>
          </w:p>
        </w:tc>
      </w:tr>
      <w:tr w:rsidR="00C03EC4" w:rsidRPr="002E75D4" w14:paraId="1404510D"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110AEE4D"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Programme d’Appui au Renforcement des Capacités d’Adaptation au Changement Climatique au Mali. (</w:t>
            </w:r>
            <w:r w:rsidRPr="002E75D4">
              <w:rPr>
                <w:rFonts w:asciiTheme="majorHAnsi" w:hAnsiTheme="majorHAnsi" w:cstheme="majorHAnsi"/>
                <w:b/>
                <w:lang w:eastAsia="en-GB"/>
              </w:rPr>
              <w:t>PARCAC)</w:t>
            </w:r>
          </w:p>
        </w:tc>
        <w:tc>
          <w:tcPr>
            <w:tcW w:w="1108" w:type="pct"/>
          </w:tcPr>
          <w:p w14:paraId="6B64C2A8"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3 000 000</w:t>
            </w:r>
          </w:p>
        </w:tc>
        <w:tc>
          <w:tcPr>
            <w:tcW w:w="1052" w:type="pct"/>
            <w:shd w:val="clear" w:color="auto" w:fill="FFE599" w:themeFill="accent4" w:themeFillTint="66"/>
          </w:tcPr>
          <w:p w14:paraId="138C9A33" w14:textId="77777777" w:rsidR="00C03EC4" w:rsidRPr="002E75D4" w:rsidRDefault="00C03EC4" w:rsidP="000D6136">
            <w:pPr>
              <w:spacing w:before="240"/>
              <w:rPr>
                <w:rFonts w:asciiTheme="majorHAnsi" w:hAnsiTheme="majorHAnsi" w:cstheme="majorHAnsi"/>
                <w:b/>
              </w:rPr>
            </w:pPr>
          </w:p>
        </w:tc>
      </w:tr>
      <w:tr w:rsidR="00C03EC4" w:rsidRPr="002E75D4" w14:paraId="794A3559" w14:textId="77777777" w:rsidTr="000D6136">
        <w:tc>
          <w:tcPr>
            <w:tcW w:w="2840" w:type="pct"/>
            <w:shd w:val="clear" w:color="auto" w:fill="FFF3F3"/>
          </w:tcPr>
          <w:p w14:paraId="04A60DE2"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rPr>
              <w:t>Programme de Renforcement de la Résilience des Communautés Agro-pastorales Vulnérables du Sahel occidental face aux Effets Négatifs des Changements Climatiques</w:t>
            </w:r>
          </w:p>
        </w:tc>
        <w:tc>
          <w:tcPr>
            <w:tcW w:w="1108" w:type="pct"/>
          </w:tcPr>
          <w:p w14:paraId="716F4661"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1 000 000</w:t>
            </w:r>
          </w:p>
        </w:tc>
        <w:tc>
          <w:tcPr>
            <w:tcW w:w="1052" w:type="pct"/>
            <w:shd w:val="clear" w:color="auto" w:fill="FFF2CC" w:themeFill="accent4" w:themeFillTint="33"/>
          </w:tcPr>
          <w:p w14:paraId="54EBE8AE"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DNPIA</w:t>
            </w:r>
          </w:p>
        </w:tc>
      </w:tr>
      <w:tr w:rsidR="00C03EC4" w:rsidRPr="002E75D4" w14:paraId="58720A91" w14:textId="77777777" w:rsidTr="000D6136">
        <w:trPr>
          <w:cnfStyle w:val="000000100000" w:firstRow="0" w:lastRow="0" w:firstColumn="0" w:lastColumn="0" w:oddVBand="0" w:evenVBand="0" w:oddHBand="1" w:evenHBand="0" w:firstRowFirstColumn="0" w:firstRowLastColumn="0" w:lastRowFirstColumn="0" w:lastRowLastColumn="0"/>
        </w:trPr>
        <w:tc>
          <w:tcPr>
            <w:tcW w:w="2840" w:type="pct"/>
            <w:shd w:val="clear" w:color="auto" w:fill="FFE1E1"/>
          </w:tcPr>
          <w:p w14:paraId="2EED84E1" w14:textId="77777777" w:rsidR="00C03EC4" w:rsidRPr="002E75D4" w:rsidRDefault="00C03EC4" w:rsidP="000D6136">
            <w:pPr>
              <w:spacing w:before="240"/>
              <w:jc w:val="both"/>
              <w:rPr>
                <w:rFonts w:asciiTheme="majorHAnsi" w:hAnsiTheme="majorHAnsi" w:cstheme="majorHAnsi"/>
                <w:b/>
              </w:rPr>
            </w:pPr>
            <w:r w:rsidRPr="002E75D4">
              <w:rPr>
                <w:rFonts w:asciiTheme="majorHAnsi" w:hAnsiTheme="majorHAnsi" w:cstheme="majorHAnsi"/>
                <w:b/>
                <w:lang w:val="fr-ML"/>
              </w:rPr>
              <w:t>Renforcement des capacités des collectivités territoriales pour l’intégration des Changements Climatiques dans les PDESC et pour un changement de comportement du centre de formation des collectivités territoriales</w:t>
            </w:r>
          </w:p>
        </w:tc>
        <w:tc>
          <w:tcPr>
            <w:tcW w:w="1108" w:type="pct"/>
          </w:tcPr>
          <w:p w14:paraId="690F74CB"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10 millions de $US.</w:t>
            </w:r>
          </w:p>
        </w:tc>
        <w:tc>
          <w:tcPr>
            <w:tcW w:w="1052" w:type="pct"/>
            <w:shd w:val="clear" w:color="auto" w:fill="FFE599" w:themeFill="accent4" w:themeFillTint="66"/>
          </w:tcPr>
          <w:p w14:paraId="11006D69" w14:textId="77777777" w:rsidR="00C03EC4" w:rsidRPr="002E75D4" w:rsidRDefault="00C03EC4" w:rsidP="000D6136">
            <w:pPr>
              <w:spacing w:before="240"/>
              <w:rPr>
                <w:rFonts w:asciiTheme="majorHAnsi" w:hAnsiTheme="majorHAnsi" w:cstheme="majorHAnsi"/>
                <w:b/>
              </w:rPr>
            </w:pPr>
            <w:r w:rsidRPr="002E75D4">
              <w:rPr>
                <w:rFonts w:asciiTheme="majorHAnsi" w:hAnsiTheme="majorHAnsi" w:cstheme="majorHAnsi"/>
                <w:b/>
              </w:rPr>
              <w:t>AEDD</w:t>
            </w:r>
          </w:p>
        </w:tc>
      </w:tr>
      <w:tr w:rsidR="00C03EC4" w:rsidRPr="002E75D4" w14:paraId="2E9B311A" w14:textId="77777777" w:rsidTr="000D6136">
        <w:tc>
          <w:tcPr>
            <w:tcW w:w="2840" w:type="pct"/>
            <w:shd w:val="clear" w:color="auto" w:fill="FFF3F3"/>
          </w:tcPr>
          <w:p w14:paraId="2A0C4A13" w14:textId="77777777" w:rsidR="00C03EC4" w:rsidRPr="002E75D4" w:rsidRDefault="00C03EC4" w:rsidP="000D6136">
            <w:pPr>
              <w:spacing w:before="240"/>
              <w:jc w:val="left"/>
            </w:pPr>
            <w:r w:rsidRPr="002E75D4">
              <w:t xml:space="preserve">Le renforcement des capacités face aux changements climatiques de tous les acteurs des secteurs public et privé, y compris le genre et les jeunes </w:t>
            </w:r>
          </w:p>
        </w:tc>
        <w:tc>
          <w:tcPr>
            <w:tcW w:w="1108" w:type="pct"/>
          </w:tcPr>
          <w:p w14:paraId="348275DF" w14:textId="77777777" w:rsidR="00C03EC4" w:rsidRPr="002E75D4" w:rsidRDefault="00C03EC4" w:rsidP="000D6136">
            <w:pPr>
              <w:spacing w:before="240"/>
              <w:jc w:val="right"/>
              <w:rPr>
                <w:rFonts w:asciiTheme="majorHAnsi" w:hAnsiTheme="majorHAnsi" w:cstheme="majorHAnsi"/>
                <w:b/>
              </w:rPr>
            </w:pPr>
            <w:r w:rsidRPr="002E75D4">
              <w:rPr>
                <w:rFonts w:asciiTheme="majorHAnsi" w:hAnsiTheme="majorHAnsi" w:cstheme="majorHAnsi"/>
                <w:b/>
              </w:rPr>
              <w:t>0,5milliard de $US.</w:t>
            </w:r>
          </w:p>
        </w:tc>
        <w:tc>
          <w:tcPr>
            <w:tcW w:w="1052" w:type="pct"/>
            <w:shd w:val="clear" w:color="auto" w:fill="FFF2CC" w:themeFill="accent4" w:themeFillTint="33"/>
          </w:tcPr>
          <w:p w14:paraId="0BF0C3FB" w14:textId="77777777" w:rsidR="00C03EC4" w:rsidRPr="002E75D4" w:rsidRDefault="00C03EC4" w:rsidP="000D6136">
            <w:pPr>
              <w:spacing w:before="240"/>
              <w:jc w:val="both"/>
              <w:rPr>
                <w:rFonts w:asciiTheme="majorHAnsi" w:hAnsiTheme="majorHAnsi" w:cstheme="majorHAnsi"/>
                <w:b/>
              </w:rPr>
            </w:pPr>
          </w:p>
        </w:tc>
      </w:tr>
    </w:tbl>
    <w:p w14:paraId="12B77FC6" w14:textId="77777777" w:rsidR="00C03EC4" w:rsidRDefault="00C03EC4" w:rsidP="00C03EC4">
      <w:pPr>
        <w:shd w:val="clear" w:color="auto" w:fill="FFFFFF" w:themeFill="background1"/>
        <w:spacing w:before="120" w:after="0" w:line="240" w:lineRule="auto"/>
        <w:ind w:right="96"/>
        <w:jc w:val="both"/>
        <w:rPr>
          <w:rFonts w:asciiTheme="majorHAnsi" w:hAnsiTheme="majorHAnsi" w:cstheme="majorHAnsi"/>
          <w:b/>
          <w:bCs/>
          <w:sz w:val="24"/>
          <w:szCs w:val="24"/>
        </w:rPr>
      </w:pPr>
      <w:r w:rsidRPr="002E75D4">
        <w:rPr>
          <w:rFonts w:asciiTheme="majorHAnsi" w:hAnsiTheme="majorHAnsi" w:cstheme="majorHAnsi"/>
          <w:b/>
          <w:bCs/>
          <w:sz w:val="24"/>
          <w:szCs w:val="24"/>
        </w:rPr>
        <w:t>Le Financement de l’adaptation est évalué à 8 milliards de $US.</w:t>
      </w:r>
    </w:p>
    <w:p w14:paraId="24AD93CA" w14:textId="77777777" w:rsidR="00C03EC4" w:rsidRPr="00A021BD" w:rsidRDefault="00C03EC4" w:rsidP="00C03EC4">
      <w:pPr>
        <w:shd w:val="clear" w:color="auto" w:fill="FFFFFF" w:themeFill="background1"/>
        <w:spacing w:before="120" w:after="0" w:line="240" w:lineRule="auto"/>
        <w:ind w:right="96"/>
        <w:jc w:val="both"/>
        <w:rPr>
          <w:rFonts w:asciiTheme="majorHAnsi" w:hAnsiTheme="majorHAnsi" w:cstheme="majorHAnsi"/>
          <w:b/>
          <w:bCs/>
          <w:sz w:val="24"/>
          <w:szCs w:val="24"/>
        </w:rPr>
      </w:pPr>
    </w:p>
    <w:p w14:paraId="320B8373" w14:textId="77777777" w:rsidR="00C03EC4" w:rsidRPr="00A021BD" w:rsidRDefault="00C03EC4" w:rsidP="00C03EC4">
      <w:pPr>
        <w:spacing w:after="0" w:line="240" w:lineRule="auto"/>
        <w:ind w:right="-426"/>
        <w:jc w:val="both"/>
        <w:rPr>
          <w:rFonts w:cstheme="minorHAnsi"/>
          <w:b/>
          <w:bCs/>
          <w:sz w:val="24"/>
          <w:szCs w:val="24"/>
        </w:rPr>
      </w:pPr>
      <w:r w:rsidRPr="00A021BD">
        <w:rPr>
          <w:rFonts w:cstheme="minorHAnsi"/>
          <w:b/>
          <w:bCs/>
          <w:sz w:val="24"/>
          <w:szCs w:val="24"/>
        </w:rPr>
        <w:t>Le programme de gestion intégrée des ressources en eau (GIRE)</w:t>
      </w:r>
    </w:p>
    <w:p w14:paraId="7EBEAF29" w14:textId="77777777" w:rsidR="00C03EC4" w:rsidRPr="002E75D4" w:rsidRDefault="00C03EC4" w:rsidP="00C03EC4">
      <w:pPr>
        <w:spacing w:after="0" w:line="240" w:lineRule="auto"/>
        <w:ind w:right="-426"/>
        <w:jc w:val="both"/>
        <w:rPr>
          <w:rFonts w:asciiTheme="majorHAnsi" w:hAnsiTheme="majorHAnsi" w:cstheme="majorHAnsi"/>
          <w:sz w:val="24"/>
          <w:szCs w:val="24"/>
        </w:rPr>
      </w:pPr>
    </w:p>
    <w:p w14:paraId="7452B6AC" w14:textId="77777777" w:rsidR="00C03EC4" w:rsidRPr="002E75D4" w:rsidRDefault="00C03EC4" w:rsidP="00C03EC4">
      <w:pPr>
        <w:tabs>
          <w:tab w:val="left" w:pos="851"/>
        </w:tabs>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Mali en 2002, a adopté la loi portant Code de l’Eau et en 2006 de la Politique Nationale de l’Eau (PNE).  Le Plan d’Action de Gestion Intégrée des Ressources en Eau (PAGIRE) du Mali a été adopté par le Conseil des Ministres en 2008 conformément aux recommandations du Sommet Mondial sur le Développement Durable tenu à Johannesburg en 2002.</w:t>
      </w:r>
    </w:p>
    <w:p w14:paraId="2436CB37" w14:textId="77777777" w:rsidR="00C03EC4" w:rsidRPr="002E75D4" w:rsidRDefault="00C03EC4" w:rsidP="00C03EC4">
      <w:pPr>
        <w:tabs>
          <w:tab w:val="left" w:pos="851"/>
        </w:tabs>
        <w:spacing w:after="0" w:line="240" w:lineRule="auto"/>
        <w:jc w:val="both"/>
        <w:rPr>
          <w:rFonts w:asciiTheme="majorHAnsi" w:hAnsiTheme="majorHAnsi" w:cstheme="majorHAnsi"/>
          <w:sz w:val="10"/>
          <w:szCs w:val="24"/>
        </w:rPr>
      </w:pPr>
    </w:p>
    <w:p w14:paraId="651EB1A7"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En suivant les recommandations de l’ODD N°6 « Assurer la disponibilité et la gestion durable de l'eau et de l'assainissement pour tous » le Mali s’est engagé à améliorer la qualité de l'eau, réduire la quantité d'eaux usées non traitées, réduire la pénurie d'eau, mettre en œuvre la gestion intégrée des ressources en eau, promouvoir la coopération transfrontalière et protéger les écosystèmes liés à l'eau </w:t>
      </w:r>
    </w:p>
    <w:p w14:paraId="6592481B" w14:textId="77777777" w:rsidR="00C03EC4" w:rsidRPr="002E75D4" w:rsidRDefault="00C03EC4" w:rsidP="00C03EC4">
      <w:pPr>
        <w:tabs>
          <w:tab w:val="left" w:pos="851"/>
        </w:tabs>
        <w:spacing w:after="0" w:line="240" w:lineRule="auto"/>
        <w:jc w:val="both"/>
        <w:rPr>
          <w:rFonts w:asciiTheme="majorHAnsi" w:hAnsiTheme="majorHAnsi" w:cstheme="majorHAnsi"/>
          <w:sz w:val="10"/>
          <w:szCs w:val="24"/>
        </w:rPr>
      </w:pPr>
    </w:p>
    <w:p w14:paraId="37E517FD"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A cet effet, le Gouvernement du Mali a décidé d’entreprendre la relecture de la Politique Nationale de l’Eau (PNE) assortie de quatre Programmes qui sont les suivants : i) Programme National d’Accès à l’Eau Potable ; ii) Programme National de Gestion Intégrée des Ressources en Eau ; iii) Programme National d’Aménagements Hydrauliques ; iv) Programme National de Gouvernance du secteur de l’eau.</w:t>
      </w:r>
    </w:p>
    <w:p w14:paraId="6AD61921" w14:textId="77777777" w:rsidR="00C03EC4" w:rsidRPr="002E75D4" w:rsidRDefault="00C03EC4" w:rsidP="00C03EC4">
      <w:pPr>
        <w:spacing w:after="0" w:line="240" w:lineRule="auto"/>
        <w:jc w:val="both"/>
        <w:rPr>
          <w:rFonts w:asciiTheme="majorHAnsi" w:hAnsiTheme="majorHAnsi" w:cstheme="majorHAnsi"/>
          <w:sz w:val="24"/>
          <w:szCs w:val="24"/>
        </w:rPr>
      </w:pPr>
    </w:p>
    <w:p w14:paraId="328EE71F" w14:textId="77777777" w:rsidR="00C03EC4" w:rsidRPr="002E75D4" w:rsidRDefault="00C03EC4" w:rsidP="00C03EC4">
      <w:pPr>
        <w:pStyle w:val="Titre1"/>
        <w:spacing w:before="0" w:after="120" w:line="240" w:lineRule="auto"/>
        <w:ind w:left="432" w:hanging="432"/>
        <w:jc w:val="both"/>
        <w:rPr>
          <w:rFonts w:asciiTheme="minorHAnsi" w:hAnsiTheme="minorHAnsi" w:cstheme="minorHAnsi"/>
          <w:b w:val="0"/>
          <w:sz w:val="24"/>
          <w:szCs w:val="24"/>
        </w:rPr>
      </w:pPr>
      <w:bookmarkStart w:id="12" w:name="_Toc4944824"/>
      <w:r w:rsidRPr="002E75D4">
        <w:rPr>
          <w:rFonts w:asciiTheme="minorHAnsi" w:hAnsiTheme="minorHAnsi" w:cstheme="minorHAnsi"/>
          <w:b w:val="0"/>
          <w:sz w:val="24"/>
          <w:szCs w:val="24"/>
        </w:rPr>
        <w:t>Objectifs</w:t>
      </w:r>
      <w:bookmarkEnd w:id="12"/>
      <w:r w:rsidRPr="002E75D4">
        <w:rPr>
          <w:rFonts w:asciiTheme="minorHAnsi" w:hAnsiTheme="minorHAnsi" w:cstheme="minorHAnsi"/>
          <w:b w:val="0"/>
          <w:sz w:val="24"/>
          <w:szCs w:val="24"/>
        </w:rPr>
        <w:t xml:space="preserve"> de la GIRE</w:t>
      </w:r>
    </w:p>
    <w:p w14:paraId="2F456BE6" w14:textId="77777777" w:rsidR="00C03EC4" w:rsidRPr="002E75D4" w:rsidRDefault="00C03EC4" w:rsidP="00C03EC4">
      <w:pPr>
        <w:pStyle w:val="Titre2"/>
        <w:keepNext w:val="0"/>
        <w:keepLines w:val="0"/>
        <w:widowControl w:val="0"/>
        <w:spacing w:before="0" w:after="120" w:line="240" w:lineRule="auto"/>
        <w:jc w:val="both"/>
        <w:rPr>
          <w:rFonts w:cstheme="majorHAnsi"/>
          <w:bCs/>
          <w:color w:val="auto"/>
          <w:sz w:val="24"/>
          <w:szCs w:val="24"/>
        </w:rPr>
      </w:pPr>
      <w:bookmarkStart w:id="13" w:name="_Toc4944825"/>
      <w:r w:rsidRPr="002E75D4">
        <w:rPr>
          <w:rFonts w:cstheme="majorHAnsi"/>
          <w:bCs/>
          <w:color w:val="auto"/>
          <w:sz w:val="24"/>
          <w:szCs w:val="24"/>
        </w:rPr>
        <w:t>Objectif de développement</w:t>
      </w:r>
      <w:bookmarkEnd w:id="13"/>
    </w:p>
    <w:p w14:paraId="15493604"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L’objectif de développement du PNGIRE est de faire de l’eau un facteur de croissance économique et de bien-être social, pour contribuer ainsi à la lutte contre la pauvreté. Il s’agit de la finalité ultime poursuivie par la mise en œuvre d’un cadre de gestion intégrée des ressources en eau du pays.</w:t>
      </w:r>
    </w:p>
    <w:p w14:paraId="34A9FAAA"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L’objectif général du PNGIRE est de disposer d’un cadre opérationnel de GIRE en 2030, qui respecte les principes de Dublin et Rio : la gestion trans-sectorielle, la gestion par bassin versant ou aquifère, la participation de tous les acteurs aux prises de décisions et aux niveaux pertinents, l’équité pour l’accès à l’eau, un mécanisme de financement où l’eau paie la gestion de l’eau selon les principes utilisateur-payeur et pollueur-payeur, la prise en compte du rôle des femmes et des groupes minoritaires dans la gestion de l’eau. Il s’agit d’un changement majeur dans les modalités de la gestion de l’eau et le PNGIRE propose les étapes à accomplir pour aboutir à ce changement.</w:t>
      </w:r>
    </w:p>
    <w:p w14:paraId="780222F9" w14:textId="77777777" w:rsidR="00C03EC4" w:rsidRDefault="00C03EC4" w:rsidP="00C03EC4">
      <w:pPr>
        <w:pStyle w:val="Titre2"/>
        <w:keepNext w:val="0"/>
        <w:keepLines w:val="0"/>
        <w:widowControl w:val="0"/>
        <w:spacing w:before="0" w:after="120" w:line="240" w:lineRule="auto"/>
        <w:jc w:val="both"/>
        <w:rPr>
          <w:rFonts w:cstheme="majorHAnsi"/>
          <w:b/>
          <w:bCs/>
          <w:color w:val="auto"/>
          <w:sz w:val="24"/>
          <w:szCs w:val="24"/>
        </w:rPr>
      </w:pPr>
      <w:bookmarkStart w:id="14" w:name="_Toc4944827"/>
    </w:p>
    <w:p w14:paraId="050494C9" w14:textId="77777777" w:rsidR="00C03EC4" w:rsidRDefault="00C03EC4" w:rsidP="00C03EC4">
      <w:pPr>
        <w:pStyle w:val="Titre2"/>
        <w:keepNext w:val="0"/>
        <w:keepLines w:val="0"/>
        <w:widowControl w:val="0"/>
        <w:spacing w:before="0" w:after="120" w:line="240" w:lineRule="auto"/>
        <w:jc w:val="both"/>
        <w:rPr>
          <w:rFonts w:cstheme="majorHAnsi"/>
          <w:b/>
          <w:bCs/>
          <w:color w:val="auto"/>
          <w:sz w:val="24"/>
          <w:szCs w:val="24"/>
        </w:rPr>
      </w:pPr>
    </w:p>
    <w:p w14:paraId="1BCC8CE8" w14:textId="77777777" w:rsidR="00C03EC4" w:rsidRDefault="00C03EC4" w:rsidP="00C03EC4">
      <w:pPr>
        <w:pStyle w:val="Titre2"/>
        <w:keepNext w:val="0"/>
        <w:keepLines w:val="0"/>
        <w:widowControl w:val="0"/>
        <w:spacing w:before="0" w:after="120" w:line="240" w:lineRule="auto"/>
        <w:jc w:val="both"/>
        <w:rPr>
          <w:rFonts w:cstheme="majorHAnsi"/>
          <w:b/>
          <w:bCs/>
          <w:color w:val="auto"/>
          <w:sz w:val="24"/>
          <w:szCs w:val="24"/>
        </w:rPr>
      </w:pPr>
    </w:p>
    <w:p w14:paraId="1146685E" w14:textId="77777777" w:rsidR="00C03EC4" w:rsidRPr="002E75D4" w:rsidRDefault="00C03EC4" w:rsidP="00C03EC4">
      <w:pPr>
        <w:pStyle w:val="Titre2"/>
        <w:keepNext w:val="0"/>
        <w:keepLines w:val="0"/>
        <w:widowControl w:val="0"/>
        <w:spacing w:before="0" w:after="120" w:line="240" w:lineRule="auto"/>
        <w:jc w:val="both"/>
        <w:rPr>
          <w:rFonts w:cstheme="majorHAnsi"/>
          <w:b/>
          <w:bCs/>
          <w:color w:val="auto"/>
          <w:sz w:val="24"/>
          <w:szCs w:val="24"/>
        </w:rPr>
      </w:pPr>
      <w:r w:rsidRPr="002E75D4">
        <w:rPr>
          <w:rFonts w:cstheme="majorHAnsi"/>
          <w:b/>
          <w:bCs/>
          <w:color w:val="auto"/>
          <w:sz w:val="24"/>
          <w:szCs w:val="24"/>
        </w:rPr>
        <w:t>Objectifs spécifiques</w:t>
      </w:r>
      <w:bookmarkEnd w:id="14"/>
    </w:p>
    <w:p w14:paraId="551E8795"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Le PNGIRE 2019-2030 vise quatre objectifs spécifiques :</w:t>
      </w:r>
    </w:p>
    <w:p w14:paraId="0F444A21" w14:textId="77777777" w:rsidR="00C03EC4" w:rsidRPr="00A021BD" w:rsidRDefault="00C03EC4" w:rsidP="00C03EC4">
      <w:pPr>
        <w:spacing w:after="0" w:line="240" w:lineRule="auto"/>
        <w:jc w:val="both"/>
        <w:rPr>
          <w:rFonts w:asciiTheme="majorHAnsi" w:hAnsiTheme="majorHAnsi" w:cstheme="majorHAnsi"/>
          <w:sz w:val="24"/>
          <w:szCs w:val="24"/>
        </w:rPr>
      </w:pPr>
      <w:r w:rsidRPr="00A021BD">
        <w:rPr>
          <w:rFonts w:asciiTheme="majorHAnsi" w:hAnsiTheme="majorHAnsi" w:cstheme="majorHAnsi"/>
          <w:sz w:val="24"/>
          <w:szCs w:val="24"/>
        </w:rPr>
        <w:t xml:space="preserve">La mise en place d’un cadre institutionnel adapté à la GIRE, </w:t>
      </w:r>
    </w:p>
    <w:p w14:paraId="49DC9626" w14:textId="77777777" w:rsidR="00C03EC4" w:rsidRPr="00A021BD" w:rsidRDefault="00C03EC4" w:rsidP="00C03EC4">
      <w:pPr>
        <w:spacing w:after="0" w:line="240" w:lineRule="auto"/>
        <w:jc w:val="both"/>
        <w:rPr>
          <w:rFonts w:asciiTheme="majorHAnsi" w:hAnsiTheme="majorHAnsi" w:cstheme="majorHAnsi"/>
          <w:sz w:val="24"/>
          <w:szCs w:val="24"/>
        </w:rPr>
      </w:pPr>
      <w:r w:rsidRPr="00A021BD">
        <w:rPr>
          <w:rFonts w:asciiTheme="majorHAnsi" w:hAnsiTheme="majorHAnsi" w:cstheme="majorHAnsi"/>
          <w:sz w:val="24"/>
          <w:szCs w:val="24"/>
        </w:rPr>
        <w:t>La fonctionnalité d’une contribution financière GIRE basée sur les principes utilisateur-payeur et pollueur-payeur, et mobilisée au bénéfice du secteur de l’eau,</w:t>
      </w:r>
    </w:p>
    <w:p w14:paraId="2E79188E" w14:textId="77777777" w:rsidR="00C03EC4" w:rsidRPr="00A021BD" w:rsidRDefault="00C03EC4" w:rsidP="00C03EC4">
      <w:pPr>
        <w:spacing w:after="0" w:line="240" w:lineRule="auto"/>
        <w:jc w:val="both"/>
        <w:rPr>
          <w:rFonts w:asciiTheme="majorHAnsi" w:hAnsiTheme="majorHAnsi" w:cstheme="majorHAnsi"/>
          <w:sz w:val="24"/>
          <w:szCs w:val="24"/>
        </w:rPr>
      </w:pPr>
      <w:r w:rsidRPr="00A021BD">
        <w:rPr>
          <w:rFonts w:asciiTheme="majorHAnsi" w:hAnsiTheme="majorHAnsi" w:cstheme="majorHAnsi"/>
          <w:sz w:val="24"/>
          <w:szCs w:val="24"/>
        </w:rPr>
        <w:t>La fonctionnalité d’une Police de l’eau, avec deux volets : la sensibilisation / l’éducation des populations et le contrôle / la répression,</w:t>
      </w:r>
    </w:p>
    <w:p w14:paraId="76AFD6E0" w14:textId="77777777" w:rsidR="00C03EC4" w:rsidRPr="00A021BD" w:rsidRDefault="00C03EC4" w:rsidP="00C03EC4">
      <w:pPr>
        <w:spacing w:after="120" w:line="240" w:lineRule="auto"/>
        <w:jc w:val="both"/>
        <w:rPr>
          <w:rFonts w:asciiTheme="majorHAnsi" w:hAnsiTheme="majorHAnsi" w:cstheme="majorHAnsi"/>
          <w:sz w:val="24"/>
          <w:szCs w:val="24"/>
        </w:rPr>
      </w:pPr>
      <w:r w:rsidRPr="00A021BD">
        <w:rPr>
          <w:rFonts w:asciiTheme="majorHAnsi" w:hAnsiTheme="majorHAnsi" w:cstheme="majorHAnsi"/>
          <w:sz w:val="24"/>
          <w:szCs w:val="24"/>
        </w:rPr>
        <w:t>Le renforcement des capacités, avec trois volets : programme de formations diplômantes à long terme ; poursuite du développement d’instruments techniques de la gestion de l’eau, de ses usages et des risques ; renforcement des services techniques.</w:t>
      </w:r>
    </w:p>
    <w:p w14:paraId="52D340AA" w14:textId="77777777" w:rsidR="00C03EC4" w:rsidRPr="002E75D4" w:rsidRDefault="00C03EC4" w:rsidP="00C03EC4">
      <w:pPr>
        <w:spacing w:after="0"/>
        <w:jc w:val="both"/>
        <w:rPr>
          <w:rFonts w:asciiTheme="majorHAnsi" w:hAnsiTheme="majorHAnsi" w:cstheme="majorHAnsi"/>
          <w:sz w:val="24"/>
          <w:szCs w:val="24"/>
        </w:rPr>
      </w:pPr>
      <w:r w:rsidRPr="002E75D4">
        <w:rPr>
          <w:rFonts w:asciiTheme="majorHAnsi" w:hAnsiTheme="majorHAnsi" w:cstheme="majorHAnsi"/>
          <w:sz w:val="24"/>
          <w:szCs w:val="24"/>
        </w:rPr>
        <w:t xml:space="preserve">Quatre approches transversales se superposeront à ces quatre objectifs : le genre, la communication, l’équité sociale et l’adaptation au changement climatique. </w:t>
      </w:r>
    </w:p>
    <w:p w14:paraId="0D64AC2D" w14:textId="77777777" w:rsidR="00C03EC4" w:rsidRPr="002E75D4" w:rsidRDefault="00C03EC4" w:rsidP="00C03EC4">
      <w:pPr>
        <w:shd w:val="clear" w:color="auto" w:fill="FFFFFF" w:themeFill="background1"/>
        <w:spacing w:before="120" w:after="0" w:line="240" w:lineRule="auto"/>
        <w:ind w:right="96"/>
        <w:jc w:val="both"/>
        <w:rPr>
          <w:rFonts w:asciiTheme="majorHAnsi" w:hAnsiTheme="majorHAnsi" w:cstheme="majorHAnsi"/>
          <w:sz w:val="28"/>
          <w:szCs w:val="24"/>
        </w:rPr>
      </w:pPr>
    </w:p>
    <w:p w14:paraId="6A2DFBD5" w14:textId="77777777" w:rsidR="00C03EC4" w:rsidRPr="002E75D4" w:rsidRDefault="00C03EC4" w:rsidP="00C03EC4">
      <w:pPr>
        <w:shd w:val="clear" w:color="auto" w:fill="FFFFFF" w:themeFill="background1"/>
        <w:spacing w:before="120" w:after="0" w:line="240" w:lineRule="auto"/>
        <w:ind w:right="96"/>
        <w:jc w:val="both"/>
        <w:rPr>
          <w:rFonts w:asciiTheme="majorHAnsi" w:hAnsiTheme="majorHAnsi" w:cstheme="majorHAnsi"/>
          <w:sz w:val="28"/>
          <w:szCs w:val="24"/>
        </w:rPr>
      </w:pPr>
    </w:p>
    <w:p w14:paraId="01231125" w14:textId="77777777" w:rsidR="00C03EC4" w:rsidRPr="002E75D4" w:rsidRDefault="00C03EC4" w:rsidP="00C03EC4">
      <w:pPr>
        <w:shd w:val="clear" w:color="auto" w:fill="FFFFFF" w:themeFill="background1"/>
        <w:spacing w:before="120" w:after="0" w:line="240" w:lineRule="auto"/>
        <w:ind w:right="96"/>
        <w:jc w:val="both"/>
        <w:rPr>
          <w:rFonts w:asciiTheme="majorHAnsi" w:hAnsiTheme="majorHAnsi" w:cstheme="majorHAnsi"/>
          <w:sz w:val="28"/>
          <w:szCs w:val="24"/>
        </w:rPr>
      </w:pPr>
    </w:p>
    <w:p w14:paraId="39556819" w14:textId="77777777" w:rsidR="00C03EC4" w:rsidRPr="002E75D4" w:rsidRDefault="00C03EC4" w:rsidP="00C03EC4">
      <w:pPr>
        <w:shd w:val="clear" w:color="auto" w:fill="FFFFFF" w:themeFill="background1"/>
        <w:spacing w:before="120" w:after="0" w:line="240" w:lineRule="auto"/>
        <w:ind w:right="96"/>
        <w:jc w:val="both"/>
        <w:rPr>
          <w:rFonts w:asciiTheme="majorHAnsi" w:hAnsiTheme="majorHAnsi" w:cstheme="majorHAnsi"/>
          <w:sz w:val="28"/>
          <w:szCs w:val="24"/>
        </w:rPr>
      </w:pPr>
    </w:p>
    <w:p w14:paraId="1C874EA4" w14:textId="77777777" w:rsidR="00C03EC4" w:rsidRPr="002E75D4" w:rsidRDefault="00C03EC4" w:rsidP="00C03EC4">
      <w:pPr>
        <w:shd w:val="clear" w:color="auto" w:fill="FFFFFF" w:themeFill="background1"/>
        <w:spacing w:before="120" w:after="0" w:line="240" w:lineRule="auto"/>
        <w:ind w:right="96"/>
        <w:jc w:val="both"/>
        <w:rPr>
          <w:rFonts w:asciiTheme="majorHAnsi" w:hAnsiTheme="majorHAnsi" w:cstheme="majorHAnsi"/>
          <w:sz w:val="28"/>
          <w:szCs w:val="24"/>
        </w:rPr>
      </w:pPr>
    </w:p>
    <w:p w14:paraId="0DE0BA6E"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015CC111"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5E675801"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3DA80C5C"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72EEFD3C"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5575E281"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267F4482"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7B73FA4D"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2B565C54"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2B20BBD6"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21D2D8DC"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30D63AC7"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r w:rsidRPr="002E75D4">
        <w:rPr>
          <w:rFonts w:asciiTheme="majorHAnsi" w:hAnsiTheme="majorHAnsi" w:cstheme="majorHAnsi"/>
          <w:noProof/>
          <w:sz w:val="24"/>
          <w:szCs w:val="24"/>
          <w:lang w:eastAsia="fr-FR"/>
        </w:rPr>
        <w:drawing>
          <wp:anchor distT="0" distB="0" distL="114300" distR="114300" simplePos="0" relativeHeight="251670528" behindDoc="1" locked="0" layoutInCell="1" allowOverlap="1" wp14:anchorId="170A5778" wp14:editId="02CA5922">
            <wp:simplePos x="0" y="0"/>
            <wp:positionH relativeFrom="column">
              <wp:posOffset>-723265</wp:posOffset>
            </wp:positionH>
            <wp:positionV relativeFrom="paragraph">
              <wp:posOffset>-792826</wp:posOffset>
            </wp:positionV>
            <wp:extent cx="7564755" cy="12692380"/>
            <wp:effectExtent l="38100" t="38100" r="29845" b="33020"/>
            <wp:wrapNone/>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1089_vector-background-design-red.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4755" cy="12692380"/>
                    </a:xfrm>
                    <a:prstGeom prst="rect">
                      <a:avLst/>
                    </a:prstGeom>
                    <a:solidFill>
                      <a:srgbClr val="FFFFFF">
                        <a:shade val="85000"/>
                      </a:srgbClr>
                    </a:solidFill>
                    <a:ln w="190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14:paraId="2599A961"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1303B3DA"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10175BDC"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6B2BBA18"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078F2D3F" w14:textId="77777777" w:rsidR="00C03EC4" w:rsidRPr="002E75D4" w:rsidRDefault="00C03EC4" w:rsidP="00C03EC4">
      <w:pPr>
        <w:tabs>
          <w:tab w:val="left" w:pos="8080"/>
        </w:tabs>
        <w:spacing w:before="40" w:after="40" w:line="240" w:lineRule="auto"/>
        <w:ind w:right="1275"/>
        <w:jc w:val="both"/>
        <w:rPr>
          <w:rFonts w:asciiTheme="majorHAnsi" w:hAnsiTheme="majorHAnsi" w:cstheme="majorHAnsi"/>
          <w:sz w:val="52"/>
          <w:szCs w:val="52"/>
        </w:rPr>
      </w:pPr>
    </w:p>
    <w:p w14:paraId="1AC78D8D" w14:textId="77777777" w:rsidR="00C03EC4" w:rsidRPr="00F24A9E" w:rsidRDefault="00C03EC4" w:rsidP="00C03EC4">
      <w:pPr>
        <w:tabs>
          <w:tab w:val="left" w:pos="8080"/>
        </w:tabs>
        <w:spacing w:before="40" w:after="40" w:line="240" w:lineRule="auto"/>
        <w:ind w:right="1275"/>
        <w:jc w:val="both"/>
        <w:rPr>
          <w:rFonts w:cstheme="majorHAnsi"/>
          <w:b/>
          <w:sz w:val="120"/>
          <w:szCs w:val="120"/>
        </w:rPr>
      </w:pPr>
      <w:r w:rsidRPr="00F24A9E">
        <w:rPr>
          <w:rFonts w:cstheme="majorHAnsi"/>
          <w:b/>
          <w:sz w:val="120"/>
          <w:szCs w:val="120"/>
        </w:rPr>
        <w:t>CHAPITRE</w:t>
      </w:r>
      <w:r>
        <w:rPr>
          <w:rFonts w:cstheme="majorHAnsi"/>
          <w:b/>
          <w:sz w:val="120"/>
          <w:szCs w:val="120"/>
        </w:rPr>
        <w:t xml:space="preserve"> </w:t>
      </w:r>
      <w:r w:rsidRPr="00F24A9E">
        <w:rPr>
          <w:rFonts w:cstheme="majorHAnsi"/>
          <w:b/>
          <w:sz w:val="120"/>
          <w:szCs w:val="120"/>
        </w:rPr>
        <w:t>VI</w:t>
      </w:r>
    </w:p>
    <w:p w14:paraId="748E0E85" w14:textId="77777777" w:rsidR="00C03EC4" w:rsidRPr="00F24A9E" w:rsidRDefault="00C03EC4" w:rsidP="00C03EC4">
      <w:pPr>
        <w:tabs>
          <w:tab w:val="left" w:pos="8080"/>
        </w:tabs>
        <w:spacing w:before="40" w:after="40" w:line="240" w:lineRule="auto"/>
        <w:ind w:right="1275"/>
        <w:jc w:val="both"/>
        <w:rPr>
          <w:rFonts w:cstheme="majorHAnsi"/>
          <w:b/>
          <w:bCs/>
          <w:sz w:val="40"/>
          <w:szCs w:val="40"/>
        </w:rPr>
      </w:pPr>
      <w:r w:rsidRPr="00F24A9E">
        <w:rPr>
          <w:rFonts w:cstheme="majorHAnsi"/>
          <w:b/>
          <w:bCs/>
          <w:sz w:val="40"/>
          <w:szCs w:val="40"/>
        </w:rPr>
        <w:t xml:space="preserve">MOYENS DE MISE EN OEUVRE </w:t>
      </w:r>
    </w:p>
    <w:p w14:paraId="08CFFC48" w14:textId="77777777" w:rsidR="00C03EC4" w:rsidRPr="00F24A9E" w:rsidRDefault="00C03EC4" w:rsidP="00C03EC4">
      <w:pPr>
        <w:spacing w:before="40"/>
        <w:ind w:right="708"/>
        <w:jc w:val="both"/>
        <w:rPr>
          <w:rFonts w:cstheme="majorHAnsi"/>
          <w:sz w:val="24"/>
          <w:szCs w:val="24"/>
        </w:rPr>
      </w:pPr>
    </w:p>
    <w:p w14:paraId="2E0E024A" w14:textId="77777777" w:rsidR="00C03EC4" w:rsidRPr="002E75D4" w:rsidRDefault="00C03EC4" w:rsidP="00C03EC4">
      <w:pPr>
        <w:spacing w:before="40"/>
        <w:ind w:right="708"/>
        <w:jc w:val="both"/>
        <w:rPr>
          <w:rFonts w:asciiTheme="majorHAnsi" w:hAnsiTheme="majorHAnsi" w:cstheme="majorHAnsi"/>
          <w:sz w:val="24"/>
          <w:szCs w:val="24"/>
        </w:rPr>
      </w:pPr>
    </w:p>
    <w:p w14:paraId="6A7AAA32" w14:textId="77777777" w:rsidR="00C03EC4" w:rsidRPr="002E75D4" w:rsidRDefault="00C03EC4" w:rsidP="00C03EC4">
      <w:pPr>
        <w:spacing w:before="40"/>
        <w:ind w:right="708"/>
        <w:jc w:val="both"/>
        <w:rPr>
          <w:rFonts w:asciiTheme="majorHAnsi" w:hAnsiTheme="majorHAnsi" w:cstheme="majorHAnsi"/>
          <w:sz w:val="24"/>
          <w:szCs w:val="24"/>
        </w:rPr>
      </w:pPr>
    </w:p>
    <w:p w14:paraId="7EE02DC8" w14:textId="77777777" w:rsidR="00C03EC4" w:rsidRPr="002E75D4" w:rsidRDefault="00C03EC4" w:rsidP="00C03EC4">
      <w:pPr>
        <w:spacing w:before="40"/>
        <w:ind w:right="708"/>
        <w:jc w:val="both"/>
        <w:rPr>
          <w:rFonts w:asciiTheme="majorHAnsi" w:hAnsiTheme="majorHAnsi" w:cstheme="majorHAnsi"/>
          <w:sz w:val="24"/>
          <w:szCs w:val="24"/>
        </w:rPr>
      </w:pPr>
    </w:p>
    <w:p w14:paraId="794947E4" w14:textId="77777777" w:rsidR="00C03EC4" w:rsidRPr="002E75D4" w:rsidRDefault="00C03EC4" w:rsidP="00C03EC4">
      <w:pPr>
        <w:spacing w:before="40"/>
        <w:ind w:right="708"/>
        <w:jc w:val="both"/>
        <w:rPr>
          <w:rFonts w:asciiTheme="majorHAnsi" w:hAnsiTheme="majorHAnsi" w:cstheme="majorHAnsi"/>
          <w:sz w:val="24"/>
          <w:szCs w:val="24"/>
        </w:rPr>
      </w:pPr>
    </w:p>
    <w:p w14:paraId="0B57E7F3" w14:textId="77777777" w:rsidR="00C03EC4" w:rsidRPr="002E75D4" w:rsidRDefault="00C03EC4" w:rsidP="00C03EC4">
      <w:pPr>
        <w:spacing w:before="40"/>
        <w:ind w:right="708"/>
        <w:jc w:val="both"/>
        <w:rPr>
          <w:rFonts w:asciiTheme="majorHAnsi" w:hAnsiTheme="majorHAnsi" w:cstheme="majorHAnsi"/>
          <w:sz w:val="24"/>
          <w:szCs w:val="24"/>
        </w:rPr>
      </w:pPr>
    </w:p>
    <w:p w14:paraId="4669FAF7" w14:textId="77777777" w:rsidR="00C03EC4" w:rsidRPr="002E75D4" w:rsidRDefault="00C03EC4" w:rsidP="00C03EC4">
      <w:pPr>
        <w:spacing w:before="40"/>
        <w:ind w:right="708"/>
        <w:jc w:val="both"/>
        <w:rPr>
          <w:rFonts w:asciiTheme="majorHAnsi" w:hAnsiTheme="majorHAnsi" w:cstheme="majorHAnsi"/>
          <w:sz w:val="24"/>
          <w:szCs w:val="24"/>
        </w:rPr>
      </w:pPr>
    </w:p>
    <w:p w14:paraId="6ACDBD94" w14:textId="77777777" w:rsidR="00C03EC4" w:rsidRPr="002E75D4" w:rsidRDefault="00C03EC4" w:rsidP="00C03EC4">
      <w:pPr>
        <w:spacing w:before="40"/>
        <w:ind w:right="708"/>
        <w:jc w:val="both"/>
        <w:rPr>
          <w:rFonts w:asciiTheme="majorHAnsi" w:hAnsiTheme="majorHAnsi" w:cstheme="majorHAnsi"/>
          <w:sz w:val="24"/>
          <w:szCs w:val="24"/>
        </w:rPr>
      </w:pPr>
    </w:p>
    <w:p w14:paraId="71EECD86" w14:textId="77777777" w:rsidR="00C03EC4" w:rsidRPr="002E75D4" w:rsidRDefault="00C03EC4" w:rsidP="00C03EC4">
      <w:pPr>
        <w:spacing w:before="40"/>
        <w:ind w:right="708"/>
        <w:jc w:val="both"/>
        <w:rPr>
          <w:rFonts w:asciiTheme="majorHAnsi" w:hAnsiTheme="majorHAnsi" w:cstheme="majorHAnsi"/>
          <w:sz w:val="24"/>
          <w:szCs w:val="24"/>
        </w:rPr>
      </w:pPr>
    </w:p>
    <w:p w14:paraId="714F8A22" w14:textId="77777777" w:rsidR="00C03EC4" w:rsidRPr="002E75D4" w:rsidRDefault="00C03EC4" w:rsidP="00C03EC4">
      <w:pPr>
        <w:spacing w:before="40"/>
        <w:ind w:right="708"/>
        <w:jc w:val="both"/>
        <w:rPr>
          <w:rFonts w:asciiTheme="majorHAnsi" w:hAnsiTheme="majorHAnsi" w:cstheme="majorHAnsi"/>
          <w:sz w:val="24"/>
          <w:szCs w:val="24"/>
        </w:rPr>
      </w:pPr>
    </w:p>
    <w:p w14:paraId="13732F51" w14:textId="77777777" w:rsidR="00C03EC4" w:rsidRDefault="00C03EC4" w:rsidP="00C03EC4">
      <w:pPr>
        <w:spacing w:after="0" w:line="240" w:lineRule="auto"/>
        <w:jc w:val="both"/>
        <w:rPr>
          <w:rFonts w:asciiTheme="majorHAnsi" w:hAnsiTheme="majorHAnsi" w:cstheme="majorHAnsi"/>
          <w:sz w:val="24"/>
          <w:szCs w:val="28"/>
        </w:rPr>
      </w:pPr>
    </w:p>
    <w:p w14:paraId="44EAFEBB" w14:textId="77777777" w:rsidR="00C03EC4" w:rsidRDefault="00C03EC4" w:rsidP="00C03EC4">
      <w:pPr>
        <w:spacing w:after="0" w:line="240" w:lineRule="auto"/>
        <w:jc w:val="both"/>
        <w:rPr>
          <w:rFonts w:asciiTheme="majorHAnsi" w:hAnsiTheme="majorHAnsi" w:cstheme="majorHAnsi"/>
          <w:sz w:val="24"/>
          <w:szCs w:val="28"/>
        </w:rPr>
      </w:pPr>
    </w:p>
    <w:p w14:paraId="063B30A4" w14:textId="77777777" w:rsidR="00C03EC4" w:rsidRDefault="00C03EC4" w:rsidP="00C03EC4">
      <w:pPr>
        <w:spacing w:after="0" w:line="240" w:lineRule="auto"/>
        <w:jc w:val="both"/>
        <w:rPr>
          <w:rFonts w:asciiTheme="majorHAnsi" w:hAnsiTheme="majorHAnsi" w:cstheme="majorHAnsi"/>
          <w:sz w:val="24"/>
          <w:szCs w:val="28"/>
        </w:rPr>
      </w:pPr>
    </w:p>
    <w:p w14:paraId="27C5BBDA" w14:textId="77777777" w:rsidR="00C03EC4" w:rsidRDefault="00C03EC4" w:rsidP="00C03EC4">
      <w:pPr>
        <w:spacing w:after="0" w:line="240" w:lineRule="auto"/>
        <w:jc w:val="both"/>
        <w:rPr>
          <w:rFonts w:asciiTheme="majorHAnsi" w:hAnsiTheme="majorHAnsi" w:cstheme="majorHAnsi"/>
          <w:sz w:val="24"/>
          <w:szCs w:val="28"/>
        </w:rPr>
      </w:pPr>
    </w:p>
    <w:p w14:paraId="67C45D7B" w14:textId="77777777" w:rsidR="00C03EC4" w:rsidRDefault="00C03EC4" w:rsidP="00C03EC4">
      <w:pPr>
        <w:spacing w:after="0" w:line="240" w:lineRule="auto"/>
        <w:jc w:val="both"/>
        <w:rPr>
          <w:rFonts w:asciiTheme="majorHAnsi" w:hAnsiTheme="majorHAnsi" w:cstheme="majorHAnsi"/>
          <w:sz w:val="24"/>
          <w:szCs w:val="28"/>
        </w:rPr>
      </w:pPr>
    </w:p>
    <w:p w14:paraId="734315DE" w14:textId="77777777" w:rsidR="00C03EC4" w:rsidRDefault="00C03EC4" w:rsidP="00C03EC4">
      <w:pPr>
        <w:spacing w:after="0" w:line="240" w:lineRule="auto"/>
        <w:jc w:val="both"/>
        <w:rPr>
          <w:rFonts w:asciiTheme="majorHAnsi" w:hAnsiTheme="majorHAnsi" w:cstheme="majorHAnsi"/>
          <w:sz w:val="24"/>
          <w:szCs w:val="28"/>
        </w:rPr>
      </w:pPr>
    </w:p>
    <w:p w14:paraId="6FAACBD9" w14:textId="77777777" w:rsidR="00C03EC4" w:rsidRDefault="00C03EC4" w:rsidP="00C03EC4">
      <w:pPr>
        <w:spacing w:after="0" w:line="240" w:lineRule="auto"/>
        <w:jc w:val="both"/>
        <w:rPr>
          <w:rFonts w:asciiTheme="majorHAnsi" w:hAnsiTheme="majorHAnsi" w:cstheme="majorHAnsi"/>
          <w:sz w:val="24"/>
          <w:szCs w:val="28"/>
        </w:rPr>
      </w:pPr>
    </w:p>
    <w:p w14:paraId="065B3ABF" w14:textId="77777777" w:rsidR="00C03EC4" w:rsidRDefault="00C03EC4" w:rsidP="00C03EC4">
      <w:pPr>
        <w:spacing w:after="0" w:line="240" w:lineRule="auto"/>
        <w:jc w:val="both"/>
        <w:rPr>
          <w:rFonts w:asciiTheme="majorHAnsi" w:hAnsiTheme="majorHAnsi" w:cstheme="majorHAnsi"/>
          <w:sz w:val="24"/>
          <w:szCs w:val="28"/>
        </w:rPr>
      </w:pPr>
    </w:p>
    <w:p w14:paraId="74E96F0D" w14:textId="77777777" w:rsidR="00C03EC4" w:rsidRPr="002E75D4" w:rsidRDefault="00C03EC4" w:rsidP="00C03EC4">
      <w:pPr>
        <w:spacing w:after="0" w:line="240" w:lineRule="auto"/>
        <w:jc w:val="both"/>
        <w:rPr>
          <w:rFonts w:asciiTheme="majorHAnsi" w:hAnsiTheme="majorHAnsi" w:cstheme="majorHAnsi"/>
          <w:sz w:val="24"/>
          <w:szCs w:val="28"/>
        </w:rPr>
      </w:pPr>
    </w:p>
    <w:p w14:paraId="3A56325F" w14:textId="77777777" w:rsidR="00C03EC4" w:rsidRPr="00F24A9E" w:rsidRDefault="00C03EC4" w:rsidP="00C03EC4">
      <w:pPr>
        <w:tabs>
          <w:tab w:val="left" w:pos="8222"/>
        </w:tabs>
        <w:spacing w:before="120" w:after="120" w:line="240" w:lineRule="auto"/>
        <w:ind w:right="1275"/>
        <w:jc w:val="both"/>
        <w:rPr>
          <w:rFonts w:asciiTheme="majorHAnsi" w:hAnsiTheme="majorHAnsi" w:cstheme="majorHAnsi"/>
          <w:b/>
          <w:sz w:val="34"/>
          <w:szCs w:val="34"/>
        </w:rPr>
      </w:pPr>
      <w:r w:rsidRPr="00F24A9E">
        <w:rPr>
          <w:rFonts w:asciiTheme="majorHAnsi" w:hAnsiTheme="majorHAnsi" w:cstheme="majorHAnsi"/>
          <w:b/>
          <w:sz w:val="34"/>
          <w:szCs w:val="34"/>
        </w:rPr>
        <w:t>6.</w:t>
      </w:r>
      <w:r>
        <w:rPr>
          <w:rFonts w:asciiTheme="majorHAnsi" w:hAnsiTheme="majorHAnsi" w:cstheme="majorHAnsi"/>
          <w:b/>
          <w:sz w:val="34"/>
          <w:szCs w:val="34"/>
        </w:rPr>
        <w:t>1</w:t>
      </w:r>
      <w:r w:rsidRPr="00F24A9E">
        <w:rPr>
          <w:rFonts w:asciiTheme="majorHAnsi" w:hAnsiTheme="majorHAnsi" w:cstheme="majorHAnsi"/>
          <w:b/>
          <w:sz w:val="34"/>
          <w:szCs w:val="34"/>
        </w:rPr>
        <w:t xml:space="preserve"> STRATEGIES ET </w:t>
      </w:r>
      <w:r>
        <w:rPr>
          <w:rFonts w:asciiTheme="majorHAnsi" w:hAnsiTheme="majorHAnsi" w:cstheme="majorHAnsi"/>
          <w:b/>
          <w:sz w:val="34"/>
          <w:szCs w:val="34"/>
        </w:rPr>
        <w:t>MOBILISATION</w:t>
      </w:r>
      <w:r w:rsidRPr="00F24A9E">
        <w:rPr>
          <w:rFonts w:asciiTheme="majorHAnsi" w:hAnsiTheme="majorHAnsi" w:cstheme="majorHAnsi"/>
          <w:b/>
          <w:sz w:val="34"/>
          <w:szCs w:val="34"/>
        </w:rPr>
        <w:t xml:space="preserve"> DE</w:t>
      </w:r>
      <w:r>
        <w:rPr>
          <w:rFonts w:asciiTheme="majorHAnsi" w:hAnsiTheme="majorHAnsi" w:cstheme="majorHAnsi"/>
          <w:b/>
          <w:sz w:val="34"/>
          <w:szCs w:val="34"/>
        </w:rPr>
        <w:t>S</w:t>
      </w:r>
      <w:r w:rsidRPr="00F24A9E">
        <w:rPr>
          <w:rFonts w:asciiTheme="majorHAnsi" w:hAnsiTheme="majorHAnsi" w:cstheme="majorHAnsi"/>
          <w:b/>
          <w:sz w:val="34"/>
          <w:szCs w:val="34"/>
        </w:rPr>
        <w:t xml:space="preserve"> FINANCEMENT</w:t>
      </w:r>
      <w:r>
        <w:rPr>
          <w:rFonts w:asciiTheme="majorHAnsi" w:hAnsiTheme="majorHAnsi" w:cstheme="majorHAnsi"/>
          <w:b/>
          <w:sz w:val="34"/>
          <w:szCs w:val="34"/>
        </w:rPr>
        <w:t>S</w:t>
      </w:r>
      <w:r w:rsidRPr="00F24A9E">
        <w:rPr>
          <w:rFonts w:asciiTheme="majorHAnsi" w:hAnsiTheme="majorHAnsi" w:cstheme="majorHAnsi"/>
          <w:b/>
          <w:sz w:val="34"/>
          <w:szCs w:val="34"/>
        </w:rPr>
        <w:t xml:space="preserve"> </w:t>
      </w:r>
    </w:p>
    <w:p w14:paraId="17D728AD"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financement est fondamental pour l’Accord de Paris. Il garantit la mise en œuvre des politiques et des actions en vue de l’atteinte des objectifs identifiés dans les contributions déterminées au niveau national. </w:t>
      </w:r>
    </w:p>
    <w:p w14:paraId="3440373C"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Conformément aux obligations de la Convention Cadre des Nations Unis sur les Changements Climatiques (CCNUCC) et de l’Accord de Paris, le pays reçoit des financements pour lutter contre les CC.  Ces financements proviennent de différentes sources entre autres des fonds sous la convention, de l’appui de Partenaires Techniques et Financiers, des banques bilatérales et multilatérales de développement, du secteur privé etc… Cependant, il est a noter qu’aucune évaluation exhaustive des soutiens reçus pour la mise en œuvre de toutes les mesures d'atténuation identifiées n'a été réalisée depuis la mise en vigueur de l’Accord de Paris. </w:t>
      </w:r>
    </w:p>
    <w:p w14:paraId="1E93D017"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Toutefois, au compte des Fonds sous la CCNUCC, on note :</w:t>
      </w:r>
    </w:p>
    <w:p w14:paraId="27A2CD49" w14:textId="77777777" w:rsidR="00C03EC4" w:rsidRPr="002E75D4" w:rsidRDefault="00C03EC4" w:rsidP="00C03EC4">
      <w:pPr>
        <w:pStyle w:val="Paragraphedeliste"/>
        <w:widowControl w:val="0"/>
        <w:numPr>
          <w:ilvl w:val="0"/>
          <w:numId w:val="62"/>
        </w:numPr>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Fonds pour l’environnement : le Mali a mobilisé pour la période 2015 – 2018 au titre du FEM6, une allocation de US $9.158.030 et US $10.34 au titre du FEM7 pour la période 2018 – 2022.</w:t>
      </w:r>
    </w:p>
    <w:p w14:paraId="2BAA3593" w14:textId="77777777" w:rsidR="00C03EC4" w:rsidRPr="002E75D4" w:rsidRDefault="00C03EC4" w:rsidP="00C03EC4">
      <w:pPr>
        <w:pStyle w:val="Paragraphedeliste"/>
        <w:widowControl w:val="0"/>
        <w:numPr>
          <w:ilvl w:val="0"/>
          <w:numId w:val="62"/>
        </w:numPr>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Fonds d’adaptation : le Mali a mobilisé US $8.5 millions</w:t>
      </w:r>
    </w:p>
    <w:p w14:paraId="3BD609E4" w14:textId="77777777" w:rsidR="00C03EC4" w:rsidRPr="002E75D4" w:rsidRDefault="00C03EC4" w:rsidP="00C03EC4">
      <w:pPr>
        <w:pStyle w:val="Paragraphedeliste"/>
        <w:widowControl w:val="0"/>
        <w:numPr>
          <w:ilvl w:val="0"/>
          <w:numId w:val="62"/>
        </w:numPr>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Fonds Vert pour le Climat : de 2016-2021, le Mali a mobilisé US $130 millions pour 8 projets. </w:t>
      </w:r>
    </w:p>
    <w:p w14:paraId="1D46403B"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Par ailleurs, selon le secrétariat à l’harmonisation de l’aide publique, le Mali a reçu une aide qui s’élevait en 2016 à 217 Milliards de FCFA. Ces financements provenaient des coopérations bilatérale et multilatérale. </w:t>
      </w:r>
    </w:p>
    <w:p w14:paraId="2B1AC717"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Dans le cadre de la mise en œuvre des actions de la nouvelle CDN, la stratégie suivante sera développée en trois étapes :  </w:t>
      </w:r>
    </w:p>
    <w:p w14:paraId="3D5484EA"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b/>
          <w:bCs/>
          <w:sz w:val="24"/>
          <w:szCs w:val="24"/>
        </w:rPr>
      </w:pPr>
      <w:r w:rsidRPr="002E75D4">
        <w:rPr>
          <w:rFonts w:asciiTheme="majorHAnsi" w:hAnsiTheme="majorHAnsi" w:cstheme="majorHAnsi"/>
          <w:b/>
          <w:bCs/>
          <w:sz w:val="24"/>
          <w:szCs w:val="24"/>
        </w:rPr>
        <w:t xml:space="preserve">Axe1 : développement de portefeuille de projets : </w:t>
      </w:r>
    </w:p>
    <w:p w14:paraId="6E7BCA64"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La mobilisation des ressources financières est fortement liée à la disponibilité de projets ou programmes et leurs qualités. Les projets sont rassemblés sous forme de plan d’investissement ou portefeuille de projets. Ce portefeuille sera constitué de projets identifiés dans le cadre de la révision.</w:t>
      </w:r>
    </w:p>
    <w:p w14:paraId="1E103FD0"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bCs/>
          <w:sz w:val="24"/>
          <w:szCs w:val="24"/>
        </w:rPr>
      </w:pPr>
      <w:r w:rsidRPr="002E75D4">
        <w:rPr>
          <w:rFonts w:asciiTheme="majorHAnsi" w:hAnsiTheme="majorHAnsi" w:cstheme="majorHAnsi"/>
          <w:bCs/>
          <w:sz w:val="24"/>
          <w:szCs w:val="24"/>
        </w:rPr>
        <w:t>Axe 2 : Améliorer l’accès aux sources de financement</w:t>
      </w:r>
    </w:p>
    <w:p w14:paraId="706CCE2D"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t>L’accès aux différentes sources de financement se fait pour la plupart à travers une entité accréditée.  Il est important pour la mobilisation des ressources de multiplier les entités d’accès directs et surtout de créer un cadre de concertation opérationnel avec les entités internationales opérant au Mali. Pour les financements hors mécanisme CCNUCC, le Mali fera recours à la coopération internationale.</w:t>
      </w:r>
    </w:p>
    <w:p w14:paraId="192E765B" w14:textId="77777777" w:rsidR="00C03EC4" w:rsidRPr="002E75D4" w:rsidRDefault="00C03EC4" w:rsidP="00C03EC4">
      <w:pPr>
        <w:widowControl w:val="0"/>
        <w:autoSpaceDE w:val="0"/>
        <w:autoSpaceDN w:val="0"/>
        <w:adjustRightInd w:val="0"/>
        <w:spacing w:after="120" w:line="240" w:lineRule="auto"/>
        <w:jc w:val="both"/>
        <w:rPr>
          <w:rFonts w:asciiTheme="majorHAnsi" w:hAnsiTheme="majorHAnsi" w:cstheme="majorHAnsi"/>
          <w:b/>
          <w:bCs/>
          <w:sz w:val="24"/>
          <w:szCs w:val="24"/>
        </w:rPr>
      </w:pPr>
      <w:r w:rsidRPr="002E75D4">
        <w:rPr>
          <w:rFonts w:asciiTheme="majorHAnsi" w:hAnsiTheme="majorHAnsi" w:cstheme="majorHAnsi"/>
          <w:b/>
          <w:bCs/>
          <w:sz w:val="24"/>
          <w:szCs w:val="24"/>
        </w:rPr>
        <w:t>Axe 3 : Améliorer la mobilisation interne</w:t>
      </w:r>
    </w:p>
    <w:p w14:paraId="267F4B04" w14:textId="77777777" w:rsidR="00C03EC4" w:rsidRDefault="00C03EC4" w:rsidP="00C03EC4">
      <w:pPr>
        <w:spacing w:before="40" w:line="240" w:lineRule="auto"/>
        <w:ind w:right="1559"/>
        <w:jc w:val="both"/>
        <w:rPr>
          <w:rFonts w:asciiTheme="majorHAnsi" w:hAnsiTheme="majorHAnsi" w:cstheme="majorHAnsi"/>
          <w:b/>
          <w:sz w:val="34"/>
          <w:szCs w:val="34"/>
        </w:rPr>
      </w:pPr>
      <w:r w:rsidRPr="002E75D4">
        <w:rPr>
          <w:rFonts w:asciiTheme="majorHAnsi" w:hAnsiTheme="majorHAnsi" w:cstheme="majorHAnsi"/>
          <w:sz w:val="24"/>
          <w:szCs w:val="24"/>
        </w:rPr>
        <w:t>Aujourd’hui, la majorité des fonds climatiques au niveau international exige des co-financements pour les projets importants. Pour faciliter la mobilisation de ces ressources au niveau international, il est important que l’état fasse des efforts à travers le budget d’investissement spécial.</w:t>
      </w:r>
    </w:p>
    <w:p w14:paraId="7C6D96A4" w14:textId="77777777" w:rsidR="00C03EC4" w:rsidRDefault="00C03EC4" w:rsidP="00C03EC4">
      <w:pPr>
        <w:spacing w:before="40" w:line="240" w:lineRule="auto"/>
        <w:ind w:right="1559"/>
        <w:jc w:val="both"/>
        <w:rPr>
          <w:rFonts w:asciiTheme="majorHAnsi" w:hAnsiTheme="majorHAnsi" w:cstheme="majorHAnsi"/>
          <w:b/>
          <w:sz w:val="34"/>
          <w:szCs w:val="34"/>
        </w:rPr>
      </w:pPr>
    </w:p>
    <w:p w14:paraId="133908A4" w14:textId="77777777" w:rsidR="00C03EC4" w:rsidRDefault="00C03EC4" w:rsidP="00C03EC4">
      <w:pPr>
        <w:spacing w:before="40" w:line="240" w:lineRule="auto"/>
        <w:ind w:right="1559"/>
        <w:jc w:val="both"/>
        <w:rPr>
          <w:rFonts w:asciiTheme="majorHAnsi" w:hAnsiTheme="majorHAnsi" w:cstheme="majorHAnsi"/>
          <w:b/>
          <w:sz w:val="34"/>
          <w:szCs w:val="34"/>
        </w:rPr>
      </w:pPr>
    </w:p>
    <w:p w14:paraId="0E0D472F" w14:textId="77777777" w:rsidR="00C03EC4" w:rsidRDefault="00C03EC4" w:rsidP="00C03EC4">
      <w:pPr>
        <w:spacing w:before="40" w:line="240" w:lineRule="auto"/>
        <w:ind w:right="1559"/>
        <w:jc w:val="both"/>
        <w:rPr>
          <w:rFonts w:asciiTheme="majorHAnsi" w:hAnsiTheme="majorHAnsi" w:cstheme="majorHAnsi"/>
          <w:b/>
          <w:sz w:val="34"/>
          <w:szCs w:val="34"/>
        </w:rPr>
      </w:pPr>
    </w:p>
    <w:p w14:paraId="2E70941E" w14:textId="77777777" w:rsidR="00C03EC4" w:rsidRDefault="00C03EC4" w:rsidP="00C03EC4">
      <w:pPr>
        <w:spacing w:before="40" w:line="240" w:lineRule="auto"/>
        <w:ind w:right="1559"/>
        <w:jc w:val="both"/>
        <w:rPr>
          <w:rFonts w:asciiTheme="majorHAnsi" w:hAnsiTheme="majorHAnsi" w:cstheme="majorHAnsi"/>
          <w:b/>
          <w:sz w:val="34"/>
          <w:szCs w:val="34"/>
        </w:rPr>
      </w:pPr>
    </w:p>
    <w:p w14:paraId="2FEF05A9" w14:textId="77777777" w:rsidR="00C03EC4" w:rsidRPr="00F24A9E" w:rsidRDefault="00C03EC4" w:rsidP="00C03EC4">
      <w:pPr>
        <w:spacing w:before="40" w:line="240" w:lineRule="auto"/>
        <w:ind w:right="1559"/>
        <w:jc w:val="both"/>
        <w:rPr>
          <w:rFonts w:asciiTheme="majorHAnsi" w:hAnsiTheme="majorHAnsi" w:cstheme="majorHAnsi"/>
          <w:b/>
          <w:sz w:val="34"/>
          <w:szCs w:val="34"/>
        </w:rPr>
      </w:pPr>
      <w:r w:rsidRPr="00F24A9E">
        <w:rPr>
          <w:rFonts w:asciiTheme="majorHAnsi" w:hAnsiTheme="majorHAnsi" w:cstheme="majorHAnsi"/>
          <w:b/>
          <w:sz w:val="34"/>
          <w:szCs w:val="34"/>
        </w:rPr>
        <w:t>6.</w:t>
      </w:r>
      <w:r>
        <w:rPr>
          <w:rFonts w:asciiTheme="majorHAnsi" w:hAnsiTheme="majorHAnsi" w:cstheme="majorHAnsi"/>
          <w:b/>
          <w:sz w:val="34"/>
          <w:szCs w:val="34"/>
        </w:rPr>
        <w:t>2</w:t>
      </w:r>
      <w:r w:rsidRPr="00F24A9E">
        <w:rPr>
          <w:rFonts w:asciiTheme="majorHAnsi" w:hAnsiTheme="majorHAnsi" w:cstheme="majorHAnsi"/>
          <w:b/>
          <w:sz w:val="34"/>
          <w:szCs w:val="34"/>
        </w:rPr>
        <w:t xml:space="preserve"> TRANSFERT DE TECHNOLOGIE ET INNOVATION</w:t>
      </w:r>
    </w:p>
    <w:p w14:paraId="7FB8F829"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Au Mali, suite au processus de l’étude des besoins de transfert de technologies assortie de plan d’actions technologique, il ressort, suivant les quatre secteurs prioritaires de lutte contre les changements climatiques et les ressources en eau, les technologies qui suivent.</w:t>
      </w:r>
    </w:p>
    <w:p w14:paraId="76153FF1" w14:textId="77777777" w:rsidR="00C03EC4" w:rsidRPr="002E75D4" w:rsidRDefault="00C03EC4" w:rsidP="00C03EC4">
      <w:pPr>
        <w:pStyle w:val="StylenormalENABEL"/>
        <w:rPr>
          <w:rFonts w:asciiTheme="majorHAnsi" w:hAnsiTheme="majorHAnsi" w:cstheme="majorHAnsi"/>
          <w:sz w:val="24"/>
        </w:rPr>
      </w:pPr>
    </w:p>
    <w:p w14:paraId="2842F4EB"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 xml:space="preserve">Pour </w:t>
      </w:r>
      <w:r w:rsidRPr="002E75D4">
        <w:rPr>
          <w:rFonts w:asciiTheme="majorHAnsi" w:hAnsiTheme="majorHAnsi" w:cstheme="majorHAnsi"/>
          <w:bCs/>
          <w:sz w:val="24"/>
        </w:rPr>
        <w:t>l’Atténuation</w:t>
      </w:r>
      <w:r w:rsidRPr="002E75D4">
        <w:rPr>
          <w:rFonts w:asciiTheme="majorHAnsi" w:hAnsiTheme="majorHAnsi" w:cstheme="majorHAnsi"/>
          <w:sz w:val="24"/>
        </w:rPr>
        <w:t>, il s’agit de l’hydroélectricité, le solaire photovoltaïque, les foyers améliorés, les biocarburants, le système de riziculture intensive (SRI), la microdose, le reboisement.</w:t>
      </w:r>
    </w:p>
    <w:p w14:paraId="2BBA924C" w14:textId="77777777" w:rsidR="00C03EC4" w:rsidRPr="002E75D4" w:rsidRDefault="00C03EC4" w:rsidP="00C03EC4">
      <w:pPr>
        <w:pStyle w:val="StylenormalENABEL"/>
        <w:rPr>
          <w:rFonts w:asciiTheme="majorHAnsi" w:hAnsiTheme="majorHAnsi" w:cstheme="majorHAnsi"/>
          <w:sz w:val="24"/>
        </w:rPr>
      </w:pPr>
    </w:p>
    <w:p w14:paraId="2F8B268E"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 xml:space="preserve">Pour </w:t>
      </w:r>
      <w:r w:rsidRPr="002E75D4">
        <w:rPr>
          <w:rFonts w:asciiTheme="majorHAnsi" w:hAnsiTheme="majorHAnsi" w:cstheme="majorHAnsi"/>
          <w:bCs/>
          <w:sz w:val="24"/>
        </w:rPr>
        <w:t>l’ Adaptation,</w:t>
      </w:r>
      <w:r w:rsidRPr="002E75D4">
        <w:rPr>
          <w:rFonts w:asciiTheme="majorHAnsi" w:hAnsiTheme="majorHAnsi" w:cstheme="majorHAnsi"/>
          <w:sz w:val="24"/>
        </w:rPr>
        <w:t xml:space="preserve"> il s’agit de la pratique des cultures fourragères pour couvrir les zones écologiques ; de l’aménagement des terres de culture selon des courbes de niveau ; des techniques agro-météorologiques pour minimiser les risques climatiques sur la production agricole ; de l’utilisation de variétés de culture (mil, riz, mais, et sorgho) améliorées adaptées aux changements climatiques ; des forages, des petits barrages de retenue d’eau, du surcreusement des marres et des puits à grand diamètre.</w:t>
      </w:r>
    </w:p>
    <w:p w14:paraId="0852F13A" w14:textId="77777777" w:rsidR="00C03EC4" w:rsidRPr="002E75D4" w:rsidRDefault="00C03EC4" w:rsidP="00C03EC4">
      <w:pPr>
        <w:pStyle w:val="StylenormalENABEL"/>
        <w:rPr>
          <w:rFonts w:asciiTheme="majorHAnsi" w:hAnsiTheme="majorHAnsi" w:cstheme="majorHAnsi"/>
          <w:sz w:val="24"/>
        </w:rPr>
      </w:pPr>
    </w:p>
    <w:p w14:paraId="70FCF72A"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La mise en œuvre de ces technologies courant 2015-2019 a permis de générer plusieurs petits projets liés à ces technologies.</w:t>
      </w:r>
    </w:p>
    <w:p w14:paraId="33A2EFD5" w14:textId="77777777" w:rsidR="00C03EC4" w:rsidRPr="002E75D4" w:rsidRDefault="00C03EC4" w:rsidP="00C03EC4">
      <w:pPr>
        <w:pStyle w:val="StylenormalENABEL"/>
        <w:rPr>
          <w:rFonts w:asciiTheme="majorHAnsi" w:hAnsiTheme="majorHAnsi" w:cstheme="majorHAnsi"/>
          <w:sz w:val="24"/>
        </w:rPr>
      </w:pPr>
    </w:p>
    <w:p w14:paraId="0CD795AC"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Plusieurs projets phares ont été mis en œuvre avec l’appui des organisations internationales et du Centre et Réseau de Technologies Climatiques (CRTC) :</w:t>
      </w:r>
    </w:p>
    <w:p w14:paraId="4595B26A" w14:textId="77777777" w:rsidR="00C03EC4" w:rsidRPr="002E75D4" w:rsidRDefault="00C03EC4" w:rsidP="00C03EC4">
      <w:pPr>
        <w:pStyle w:val="StylenormalENABEL"/>
        <w:numPr>
          <w:ilvl w:val="0"/>
          <w:numId w:val="56"/>
        </w:numPr>
        <w:spacing w:before="120"/>
        <w:contextualSpacing w:val="0"/>
        <w:rPr>
          <w:rFonts w:asciiTheme="majorHAnsi" w:hAnsiTheme="majorHAnsi" w:cstheme="majorHAnsi"/>
          <w:sz w:val="24"/>
        </w:rPr>
      </w:pPr>
      <w:r w:rsidRPr="002E75D4">
        <w:rPr>
          <w:rFonts w:asciiTheme="majorHAnsi" w:hAnsiTheme="majorHAnsi" w:cstheme="majorHAnsi"/>
          <w:sz w:val="24"/>
        </w:rPr>
        <w:t>La réduction des émissions de HFC, suite au programme du protocole de Montréal au Mali, par l’interdiction de l’importation des réfrigérateurs concernés, renforcée par la prise de décision de Kigali. L’élimination et la reconversion totale des hydro-chloro-fluro-carbone (HCFC) à l’horizon 2030, pourraient aboutir à une réduction d’environ 17,3 tonnes de CO2eq.</w:t>
      </w:r>
    </w:p>
    <w:p w14:paraId="1AEA5890" w14:textId="77777777" w:rsidR="00C03EC4" w:rsidRPr="002E75D4" w:rsidRDefault="00C03EC4" w:rsidP="00C03EC4">
      <w:pPr>
        <w:pStyle w:val="StylenormalENABEL"/>
        <w:numPr>
          <w:ilvl w:val="0"/>
          <w:numId w:val="56"/>
        </w:numPr>
        <w:spacing w:before="120"/>
        <w:contextualSpacing w:val="0"/>
        <w:rPr>
          <w:rStyle w:val="tlid-translation"/>
          <w:rFonts w:asciiTheme="majorHAnsi" w:hAnsiTheme="majorHAnsi" w:cstheme="majorHAnsi"/>
          <w:sz w:val="24"/>
        </w:rPr>
      </w:pPr>
      <w:r w:rsidRPr="002E75D4">
        <w:rPr>
          <w:rFonts w:asciiTheme="majorHAnsi" w:hAnsiTheme="majorHAnsi" w:cstheme="majorHAnsi"/>
          <w:sz w:val="24"/>
          <w:lang w:val="fr-FR"/>
        </w:rPr>
        <w:t>L’</w:t>
      </w:r>
      <w:hyperlink r:id="rId41" w:tgtFrame="_blank" w:history="1">
        <w:r w:rsidRPr="002E75D4">
          <w:rPr>
            <w:rFonts w:asciiTheme="majorHAnsi" w:hAnsiTheme="majorHAnsi" w:cstheme="majorHAnsi"/>
            <w:sz w:val="24"/>
            <w:lang w:val="fr-FR"/>
          </w:rPr>
          <w:t>Intégration du genre pour un système énergétique résilient au climat dans la CEDEAO</w:t>
        </w:r>
      </w:hyperlink>
      <w:r w:rsidRPr="002E75D4">
        <w:rPr>
          <w:rFonts w:asciiTheme="majorHAnsi" w:hAnsiTheme="majorHAnsi" w:cstheme="majorHAnsi"/>
          <w:sz w:val="24"/>
          <w:lang w:val="fr-FR"/>
        </w:rPr>
        <w:t xml:space="preserve"> en cours d’exécution afin de mettre en œuvre les </w:t>
      </w:r>
      <w:r w:rsidRPr="002E75D4">
        <w:rPr>
          <w:rStyle w:val="tlid-translation"/>
          <w:rFonts w:asciiTheme="majorHAnsi" w:hAnsiTheme="majorHAnsi" w:cstheme="majorHAnsi"/>
          <w:sz w:val="24"/>
        </w:rPr>
        <w:t>objectifs de développement durable (ODD) et les objectifs de l'énergie durable pour tous (SE4ALL).</w:t>
      </w:r>
    </w:p>
    <w:p w14:paraId="2B544DCD" w14:textId="77777777" w:rsidR="00C03EC4" w:rsidRPr="002E75D4" w:rsidRDefault="00C03EC4" w:rsidP="00C03EC4">
      <w:pPr>
        <w:pStyle w:val="StylenormalENABEL"/>
        <w:numPr>
          <w:ilvl w:val="0"/>
          <w:numId w:val="56"/>
        </w:numPr>
        <w:spacing w:before="120"/>
        <w:contextualSpacing w:val="0"/>
        <w:rPr>
          <w:rStyle w:val="tlid-translation"/>
          <w:rFonts w:asciiTheme="majorHAnsi" w:hAnsiTheme="majorHAnsi" w:cstheme="majorHAnsi"/>
          <w:sz w:val="24"/>
        </w:rPr>
      </w:pPr>
      <w:r w:rsidRPr="002E75D4">
        <w:rPr>
          <w:rStyle w:val="tlid-translation"/>
          <w:rFonts w:asciiTheme="majorHAnsi" w:hAnsiTheme="majorHAnsi" w:cstheme="majorHAnsi"/>
          <w:sz w:val="24"/>
        </w:rPr>
        <w:t>L’</w:t>
      </w:r>
      <w:hyperlink r:id="rId42" w:tgtFrame="_blank" w:history="1">
        <w:r w:rsidRPr="002E75D4">
          <w:rPr>
            <w:rFonts w:asciiTheme="majorHAnsi" w:hAnsiTheme="majorHAnsi" w:cstheme="majorHAnsi"/>
            <w:sz w:val="24"/>
            <w:lang w:val="fr-FR"/>
          </w:rPr>
          <w:t xml:space="preserve">Étude de faisabilité technique et économique avec le </w:t>
        </w:r>
        <w:r w:rsidRPr="002E75D4">
          <w:rPr>
            <w:rStyle w:val="tlid-translation"/>
            <w:rFonts w:asciiTheme="majorHAnsi" w:hAnsiTheme="majorHAnsi" w:cstheme="majorHAnsi"/>
            <w:sz w:val="24"/>
          </w:rPr>
          <w:t>Groupe d'Action pour la Modernisation de l'Agriculture (GAMA) dans le sud du Mali et  MaliFolkCenter</w:t>
        </w:r>
        <w:r w:rsidRPr="002E75D4">
          <w:rPr>
            <w:rFonts w:asciiTheme="majorHAnsi" w:hAnsiTheme="majorHAnsi" w:cstheme="majorHAnsi"/>
            <w:sz w:val="24"/>
            <w:lang w:val="fr-FR"/>
          </w:rPr>
          <w:t xml:space="preserve"> pour supprimer les obstacles à la mise en œuvre des technologies de séchage et de stockage du gombo, de la mangue et des  pommes de terre pour soutenir la sécurité alimentaire</w:t>
        </w:r>
      </w:hyperlink>
      <w:r w:rsidRPr="002E75D4">
        <w:rPr>
          <w:rStyle w:val="tlid-translation"/>
          <w:rFonts w:asciiTheme="majorHAnsi" w:hAnsiTheme="majorHAnsi" w:cstheme="majorHAnsi"/>
          <w:sz w:val="24"/>
        </w:rPr>
        <w:t xml:space="preserve">. </w:t>
      </w:r>
    </w:p>
    <w:p w14:paraId="5C3981DF" w14:textId="77777777" w:rsidR="00C03EC4" w:rsidRPr="002E75D4" w:rsidRDefault="00C03EC4" w:rsidP="00C03EC4">
      <w:pPr>
        <w:pStyle w:val="StylenormalENABEL"/>
        <w:numPr>
          <w:ilvl w:val="0"/>
          <w:numId w:val="56"/>
        </w:numPr>
        <w:spacing w:before="120"/>
        <w:contextualSpacing w:val="0"/>
        <w:rPr>
          <w:rFonts w:asciiTheme="majorHAnsi" w:hAnsiTheme="majorHAnsi" w:cstheme="majorHAnsi"/>
          <w:sz w:val="24"/>
        </w:rPr>
      </w:pPr>
      <w:r w:rsidRPr="002E75D4">
        <w:rPr>
          <w:rStyle w:val="tlid-translation"/>
          <w:rFonts w:asciiTheme="majorHAnsi" w:hAnsiTheme="majorHAnsi" w:cstheme="majorHAnsi"/>
          <w:sz w:val="24"/>
        </w:rPr>
        <w:t xml:space="preserve">Le </w:t>
      </w:r>
      <w:hyperlink r:id="rId43" w:tgtFrame="_blank" w:history="1">
        <w:r w:rsidRPr="002E75D4">
          <w:rPr>
            <w:rFonts w:asciiTheme="majorHAnsi" w:hAnsiTheme="majorHAnsi" w:cstheme="majorHAnsi"/>
            <w:sz w:val="24"/>
            <w:lang w:val="fr-FR"/>
          </w:rPr>
          <w:t>Renforcement de la mise en œuvre d'actions d'adaptation aux changements climatiques et de développement propre par les communautés rurales du Mali</w:t>
        </w:r>
      </w:hyperlink>
      <w:r w:rsidRPr="002E75D4">
        <w:rPr>
          <w:rFonts w:asciiTheme="majorHAnsi" w:hAnsiTheme="majorHAnsi" w:cstheme="majorHAnsi"/>
          <w:sz w:val="24"/>
          <w:lang w:val="fr-FR"/>
        </w:rPr>
        <w:t>.</w:t>
      </w:r>
    </w:p>
    <w:p w14:paraId="25381E08" w14:textId="77777777" w:rsidR="00C03EC4" w:rsidRPr="002E75D4" w:rsidRDefault="00C03EC4" w:rsidP="00C03EC4">
      <w:pPr>
        <w:pStyle w:val="StylenormalENABEL"/>
        <w:numPr>
          <w:ilvl w:val="0"/>
          <w:numId w:val="56"/>
        </w:numPr>
        <w:spacing w:before="120"/>
        <w:contextualSpacing w:val="0"/>
        <w:rPr>
          <w:rStyle w:val="tlid-translation"/>
          <w:rFonts w:asciiTheme="majorHAnsi" w:hAnsiTheme="majorHAnsi" w:cstheme="majorHAnsi"/>
          <w:sz w:val="24"/>
        </w:rPr>
      </w:pPr>
      <w:r w:rsidRPr="002E75D4">
        <w:rPr>
          <w:rFonts w:asciiTheme="majorHAnsi" w:hAnsiTheme="majorHAnsi" w:cstheme="majorHAnsi"/>
          <w:sz w:val="24"/>
          <w:lang w:val="fr-FR"/>
        </w:rPr>
        <w:t>L’</w:t>
      </w:r>
      <w:hyperlink r:id="rId44" w:tgtFrame="_blank" w:history="1">
        <w:r w:rsidRPr="002E75D4">
          <w:rPr>
            <w:rFonts w:asciiTheme="majorHAnsi" w:hAnsiTheme="majorHAnsi" w:cstheme="majorHAnsi"/>
            <w:sz w:val="24"/>
            <w:lang w:val="fr-FR"/>
          </w:rPr>
          <w:t>Etude sur la valorisation énergétique des déchets de biomasse forestière</w:t>
        </w:r>
      </w:hyperlink>
      <w:r w:rsidRPr="002E75D4">
        <w:rPr>
          <w:rFonts w:asciiTheme="majorHAnsi" w:hAnsiTheme="majorHAnsi" w:cstheme="majorHAnsi"/>
          <w:sz w:val="24"/>
          <w:lang w:val="fr-FR"/>
        </w:rPr>
        <w:t xml:space="preserve"> (multi-pays) en cours, afin d’é</w:t>
      </w:r>
      <w:r w:rsidRPr="002E75D4">
        <w:rPr>
          <w:rStyle w:val="tlid-translation"/>
          <w:rFonts w:asciiTheme="majorHAnsi" w:hAnsiTheme="majorHAnsi" w:cstheme="majorHAnsi"/>
          <w:sz w:val="24"/>
        </w:rPr>
        <w:t>valuer le potentiel de séquestration du carbone conformément aux perspectives du programme de réduction des émissions dues à la déforestation et à la dégradation des forêts (REDD +) et le mécanisme de développement propre (MDP).</w:t>
      </w:r>
    </w:p>
    <w:p w14:paraId="74E4E076" w14:textId="77777777" w:rsidR="00C03EC4" w:rsidRPr="002E75D4" w:rsidRDefault="00C03EC4" w:rsidP="00C03EC4">
      <w:pPr>
        <w:pStyle w:val="StylenormalENABEL"/>
        <w:spacing w:before="120"/>
        <w:contextualSpacing w:val="0"/>
        <w:rPr>
          <w:rFonts w:asciiTheme="majorHAnsi" w:hAnsiTheme="majorHAnsi" w:cstheme="majorHAnsi"/>
          <w:sz w:val="24"/>
        </w:rPr>
      </w:pPr>
      <w:r w:rsidRPr="002E75D4">
        <w:rPr>
          <w:rFonts w:asciiTheme="majorHAnsi" w:hAnsiTheme="majorHAnsi" w:cstheme="majorHAnsi"/>
          <w:sz w:val="24"/>
          <w:lang w:val="fr-FR"/>
        </w:rPr>
        <w:t xml:space="preserve">Par ailleurs, dans le cadre de l’innovation technologique des actions ont été menées dans le rapport biennal (BUR) en rapport avec la Coalition pour l’Air pur (CCAC) relatives </w:t>
      </w:r>
      <w:bookmarkStart w:id="15" w:name="_Toc51345023"/>
      <w:r w:rsidRPr="002E75D4">
        <w:rPr>
          <w:rFonts w:asciiTheme="majorHAnsi" w:hAnsiTheme="majorHAnsi" w:cstheme="majorHAnsi"/>
          <w:sz w:val="24"/>
        </w:rPr>
        <w:t xml:space="preserve">aux polluants atmosphériques et aux gaz à effet de serre de courte durée de vie. Les gaz et polluants identifiés sont le carbone noir, le méthane et l'ozone troposphérique et les hydrofluorocarbures. </w:t>
      </w:r>
    </w:p>
    <w:p w14:paraId="0B83FA9E" w14:textId="77777777" w:rsidR="00C03EC4" w:rsidRPr="002E75D4" w:rsidRDefault="00C03EC4" w:rsidP="00C03EC4">
      <w:pPr>
        <w:pStyle w:val="StylenormalENABEL"/>
        <w:contextualSpacing w:val="0"/>
        <w:rPr>
          <w:rFonts w:asciiTheme="majorHAnsi" w:hAnsiTheme="majorHAnsi" w:cstheme="majorHAnsi"/>
          <w:sz w:val="24"/>
        </w:rPr>
      </w:pPr>
    </w:p>
    <w:p w14:paraId="61323AAA" w14:textId="77777777" w:rsidR="00C03EC4" w:rsidRPr="002E75D4" w:rsidRDefault="00C03EC4" w:rsidP="00C03EC4">
      <w:pPr>
        <w:pStyle w:val="StylenormalENABEL"/>
        <w:rPr>
          <w:rFonts w:asciiTheme="majorHAnsi" w:eastAsia="Calibri" w:hAnsiTheme="majorHAnsi" w:cstheme="majorHAnsi"/>
          <w:sz w:val="24"/>
        </w:rPr>
      </w:pPr>
      <w:r w:rsidRPr="002E75D4">
        <w:rPr>
          <w:rFonts w:asciiTheme="majorHAnsi" w:hAnsiTheme="majorHAnsi" w:cstheme="majorHAnsi"/>
          <w:sz w:val="24"/>
        </w:rPr>
        <w:t xml:space="preserve">Aussi il ressort de poursuivre la mise en œuvre du Plan d’Actions Technologiques qui reste d’actualité pour lutter contre les changements climatiques mais aussi de renforcer les mesures de lutte contre les polluants atmosphériques et les gaz de courte durée de vie en mettant en place des instruments de mesures appropriées sur le terrain (station de mesure de pollution) et un programme renforcé de maitrise des outils d’évaluation de tous les gaz et </w:t>
      </w:r>
      <w:bookmarkEnd w:id="15"/>
      <w:r w:rsidRPr="002E75D4">
        <w:rPr>
          <w:rFonts w:asciiTheme="majorHAnsi" w:hAnsiTheme="majorHAnsi" w:cstheme="majorHAnsi"/>
          <w:sz w:val="24"/>
        </w:rPr>
        <w:t>polluants.</w:t>
      </w:r>
      <w:r w:rsidRPr="002E75D4">
        <w:rPr>
          <w:rFonts w:asciiTheme="majorHAnsi" w:eastAsia="Calibri" w:hAnsiTheme="majorHAnsi" w:cstheme="majorHAnsi"/>
          <w:sz w:val="24"/>
        </w:rPr>
        <w:t xml:space="preserve"> </w:t>
      </w:r>
    </w:p>
    <w:p w14:paraId="5F017F98" w14:textId="77777777" w:rsidR="00C03EC4" w:rsidRPr="002E75D4" w:rsidRDefault="00C03EC4" w:rsidP="00C03EC4">
      <w:pPr>
        <w:pStyle w:val="StylenormalENABEL"/>
        <w:rPr>
          <w:rFonts w:asciiTheme="majorHAnsi" w:eastAsia="Calibri" w:hAnsiTheme="majorHAnsi" w:cstheme="majorHAnsi"/>
          <w:sz w:val="24"/>
        </w:rPr>
      </w:pPr>
    </w:p>
    <w:p w14:paraId="5788E360" w14:textId="77777777" w:rsidR="00C03EC4" w:rsidRDefault="00C03EC4" w:rsidP="00C03EC4">
      <w:pPr>
        <w:pStyle w:val="StylenormalENABEL"/>
        <w:rPr>
          <w:rFonts w:asciiTheme="majorHAnsi" w:eastAsia="Calibri" w:hAnsiTheme="majorHAnsi" w:cstheme="majorHAnsi"/>
          <w:bCs/>
          <w:sz w:val="24"/>
        </w:rPr>
      </w:pPr>
      <w:r w:rsidRPr="002E75D4">
        <w:rPr>
          <w:rFonts w:asciiTheme="majorHAnsi" w:eastAsia="Calibri" w:hAnsiTheme="majorHAnsi" w:cstheme="majorHAnsi"/>
          <w:sz w:val="24"/>
        </w:rPr>
        <w:t xml:space="preserve">Les couts des besoins estimés s’élèvent à </w:t>
      </w:r>
      <w:r w:rsidRPr="002E75D4">
        <w:rPr>
          <w:rFonts w:asciiTheme="majorHAnsi" w:eastAsia="Calibri" w:hAnsiTheme="majorHAnsi" w:cstheme="majorHAnsi"/>
          <w:bCs/>
          <w:sz w:val="24"/>
        </w:rPr>
        <w:t>2,5 Milliards de $US.</w:t>
      </w:r>
    </w:p>
    <w:p w14:paraId="3987CF10" w14:textId="77777777" w:rsidR="00C03EC4" w:rsidRPr="00F24A9E" w:rsidRDefault="00C03EC4" w:rsidP="00C03EC4">
      <w:pPr>
        <w:pStyle w:val="StylenormalENABEL"/>
        <w:rPr>
          <w:rFonts w:asciiTheme="majorHAnsi" w:eastAsia="Calibri" w:hAnsiTheme="majorHAnsi" w:cstheme="majorHAnsi"/>
          <w:sz w:val="24"/>
        </w:rPr>
      </w:pPr>
    </w:p>
    <w:p w14:paraId="2A1F75F3" w14:textId="77777777" w:rsidR="00C03EC4" w:rsidRPr="00F24A9E" w:rsidRDefault="00C03EC4" w:rsidP="00C03EC4">
      <w:pPr>
        <w:spacing w:before="120" w:after="0" w:line="240" w:lineRule="auto"/>
        <w:ind w:right="4394"/>
        <w:jc w:val="both"/>
        <w:rPr>
          <w:rFonts w:asciiTheme="majorHAnsi" w:hAnsiTheme="majorHAnsi" w:cstheme="majorHAnsi"/>
          <w:b/>
          <w:sz w:val="34"/>
          <w:szCs w:val="34"/>
        </w:rPr>
      </w:pPr>
      <w:r w:rsidRPr="00F24A9E">
        <w:rPr>
          <w:rFonts w:asciiTheme="majorHAnsi" w:hAnsiTheme="majorHAnsi" w:cstheme="majorHAnsi"/>
          <w:b/>
          <w:sz w:val="34"/>
          <w:szCs w:val="34"/>
        </w:rPr>
        <w:t>6.</w:t>
      </w:r>
      <w:r>
        <w:rPr>
          <w:rFonts w:asciiTheme="majorHAnsi" w:hAnsiTheme="majorHAnsi" w:cstheme="majorHAnsi"/>
          <w:b/>
          <w:sz w:val="34"/>
          <w:szCs w:val="34"/>
        </w:rPr>
        <w:t>3</w:t>
      </w:r>
      <w:r w:rsidRPr="00F24A9E">
        <w:rPr>
          <w:rFonts w:asciiTheme="majorHAnsi" w:hAnsiTheme="majorHAnsi" w:cstheme="majorHAnsi"/>
          <w:b/>
          <w:sz w:val="34"/>
          <w:szCs w:val="34"/>
        </w:rPr>
        <w:t xml:space="preserve"> RENFORCEMENT DES CAPACITES</w:t>
      </w:r>
    </w:p>
    <w:p w14:paraId="13FCBCA7" w14:textId="77777777" w:rsidR="00C03EC4" w:rsidRPr="002E75D4" w:rsidRDefault="00C03EC4" w:rsidP="00C03EC4">
      <w:pPr>
        <w:pStyle w:val="StylenormalENABEL"/>
        <w:rPr>
          <w:rFonts w:asciiTheme="majorHAnsi" w:hAnsiTheme="majorHAnsi" w:cstheme="majorHAnsi"/>
          <w:sz w:val="24"/>
        </w:rPr>
      </w:pPr>
    </w:p>
    <w:p w14:paraId="61DE102F"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Le renforcement des capacités des communautés vulnérables, des institutions, des décideurs et de toutes les parties prenantes de la CDN doit prendre en compte les insuffisances suivantes :</w:t>
      </w:r>
    </w:p>
    <w:p w14:paraId="1F1FB9C9" w14:textId="77777777" w:rsidR="00C03EC4" w:rsidRPr="002E75D4" w:rsidRDefault="00C03EC4" w:rsidP="00C03EC4">
      <w:pPr>
        <w:pStyle w:val="StylenormalENABEL"/>
        <w:numPr>
          <w:ilvl w:val="0"/>
          <w:numId w:val="10"/>
        </w:numPr>
        <w:rPr>
          <w:rFonts w:asciiTheme="majorHAnsi" w:hAnsiTheme="majorHAnsi" w:cstheme="majorHAnsi"/>
          <w:sz w:val="24"/>
        </w:rPr>
      </w:pPr>
      <w:r w:rsidRPr="002E75D4">
        <w:rPr>
          <w:rFonts w:asciiTheme="majorHAnsi" w:hAnsiTheme="majorHAnsi" w:cstheme="majorHAnsi"/>
          <w:sz w:val="24"/>
        </w:rPr>
        <w:t>Les conflits de compétence, le cloisonnement des différentes institutions et la mauvaise et/ou la non application des textes législatifs et réglementaires ;</w:t>
      </w:r>
    </w:p>
    <w:p w14:paraId="1F271E47" w14:textId="77777777" w:rsidR="00C03EC4" w:rsidRPr="002E75D4" w:rsidRDefault="00C03EC4" w:rsidP="00C03EC4">
      <w:pPr>
        <w:pStyle w:val="StylenormalENABEL"/>
        <w:numPr>
          <w:ilvl w:val="0"/>
          <w:numId w:val="10"/>
        </w:numPr>
        <w:rPr>
          <w:rFonts w:asciiTheme="majorHAnsi" w:hAnsiTheme="majorHAnsi" w:cstheme="majorHAnsi"/>
          <w:sz w:val="24"/>
        </w:rPr>
      </w:pPr>
      <w:r w:rsidRPr="002E75D4">
        <w:rPr>
          <w:rFonts w:asciiTheme="majorHAnsi" w:hAnsiTheme="majorHAnsi" w:cstheme="majorHAnsi"/>
          <w:sz w:val="24"/>
        </w:rPr>
        <w:t>Le manque et/ou la faiblesse de formation académique, d’information, de sensibilisation et de communication (médias spécialisés) sur les enjeux des questions de changements climatiques ;</w:t>
      </w:r>
    </w:p>
    <w:p w14:paraId="3AC13D7E" w14:textId="77777777" w:rsidR="00C03EC4" w:rsidRPr="002E75D4" w:rsidRDefault="00C03EC4" w:rsidP="00C03EC4">
      <w:pPr>
        <w:pStyle w:val="StylenormalENABEL"/>
        <w:numPr>
          <w:ilvl w:val="0"/>
          <w:numId w:val="10"/>
        </w:numPr>
        <w:rPr>
          <w:rFonts w:asciiTheme="majorHAnsi" w:hAnsiTheme="majorHAnsi" w:cstheme="majorHAnsi"/>
          <w:sz w:val="24"/>
        </w:rPr>
      </w:pPr>
      <w:r w:rsidRPr="002E75D4">
        <w:rPr>
          <w:rFonts w:asciiTheme="majorHAnsi" w:hAnsiTheme="majorHAnsi" w:cstheme="majorHAnsi"/>
          <w:sz w:val="24"/>
        </w:rPr>
        <w:t>La faiblesse des expertises en ressources humaines qualifiées, de laboratoires de recherches spécialisés dans le domaine des changements climatiques, de système national d’acquisition, de traitement et d’archivages de données suffisantes et fiables.</w:t>
      </w:r>
    </w:p>
    <w:p w14:paraId="2260F15A" w14:textId="77777777" w:rsidR="00C03EC4" w:rsidRPr="002E75D4" w:rsidRDefault="00C03EC4" w:rsidP="00C03EC4">
      <w:pPr>
        <w:pStyle w:val="StylenormalENABEL"/>
        <w:numPr>
          <w:ilvl w:val="0"/>
          <w:numId w:val="10"/>
        </w:numPr>
        <w:rPr>
          <w:rFonts w:asciiTheme="majorHAnsi" w:hAnsiTheme="majorHAnsi" w:cstheme="majorHAnsi"/>
          <w:sz w:val="24"/>
        </w:rPr>
      </w:pPr>
      <w:r w:rsidRPr="002E75D4">
        <w:rPr>
          <w:rFonts w:asciiTheme="majorHAnsi" w:hAnsiTheme="majorHAnsi" w:cstheme="majorHAnsi"/>
          <w:sz w:val="24"/>
        </w:rPr>
        <w:t xml:space="preserve">L’absence de mécanisme appropriée de collecte et de traitement des données par des logiciels de pointe. </w:t>
      </w:r>
    </w:p>
    <w:p w14:paraId="7C17D6B8" w14:textId="77777777" w:rsidR="00C03EC4" w:rsidRPr="002E75D4" w:rsidRDefault="00C03EC4" w:rsidP="00C03EC4">
      <w:pPr>
        <w:pStyle w:val="StylenormalENABEL"/>
        <w:rPr>
          <w:rFonts w:asciiTheme="majorHAnsi" w:hAnsiTheme="majorHAnsi" w:cstheme="majorHAnsi"/>
          <w:sz w:val="24"/>
        </w:rPr>
      </w:pPr>
    </w:p>
    <w:p w14:paraId="3995468F"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Cependant des actions de plaidoyer, de formation, de sensibilisation et de communication ont été menées auprès des acteurs et partie prenantes. Il ressort la poursuite de ces activités de renforcement de capacité afin de renforcer la compréhension scientifique et technique du phénomène climatique, le financement, le transfert de technologies, le partage des expériences et de bonnes pratiques ainsi que la communication et la mise en œuvre parfaite des actions dans la CDN.</w:t>
      </w:r>
    </w:p>
    <w:p w14:paraId="2EC09D37" w14:textId="77777777" w:rsidR="00C03EC4" w:rsidRPr="002E75D4" w:rsidRDefault="00C03EC4" w:rsidP="00C03EC4">
      <w:pPr>
        <w:pStyle w:val="StylenormalENABEL"/>
        <w:rPr>
          <w:rFonts w:asciiTheme="majorHAnsi" w:hAnsiTheme="majorHAnsi" w:cstheme="majorHAnsi"/>
          <w:sz w:val="24"/>
        </w:rPr>
      </w:pPr>
    </w:p>
    <w:p w14:paraId="2E5C027A"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Plus spécifiquement, le Mali a procédé au renforcement des capacités d’évaluation de l’atténuation des changements climatiques et à l’actualisation des Inventaires de GES dans le BUR afin de renforcer les capacités du pays à développer un plan d’atténuation en cohérence avec sa CDN, ses stratégies et plans de développement. D’autres actions ont été menées dans le cadre de la dégradation des ressources naturelles.</w:t>
      </w:r>
    </w:p>
    <w:p w14:paraId="1AD7BE57" w14:textId="77777777" w:rsidR="00C03EC4" w:rsidRPr="002E75D4" w:rsidRDefault="00C03EC4" w:rsidP="00C03EC4">
      <w:pPr>
        <w:pStyle w:val="StylenormalENABEL"/>
        <w:rPr>
          <w:rFonts w:asciiTheme="majorHAnsi" w:hAnsiTheme="majorHAnsi" w:cstheme="majorHAnsi"/>
          <w:sz w:val="24"/>
        </w:rPr>
      </w:pPr>
    </w:p>
    <w:p w14:paraId="61ADD609" w14:textId="77777777" w:rsidR="00C03EC4" w:rsidRPr="002E75D4" w:rsidRDefault="00C03EC4" w:rsidP="00C03EC4">
      <w:pPr>
        <w:pStyle w:val="StylenormalENABEL"/>
        <w:rPr>
          <w:rFonts w:asciiTheme="majorHAnsi" w:hAnsiTheme="majorHAnsi" w:cstheme="majorHAnsi"/>
          <w:sz w:val="24"/>
        </w:rPr>
      </w:pPr>
      <w:r w:rsidRPr="002E75D4">
        <w:rPr>
          <w:rFonts w:asciiTheme="majorHAnsi" w:hAnsiTheme="majorHAnsi" w:cstheme="majorHAnsi"/>
          <w:sz w:val="24"/>
        </w:rPr>
        <w:t>En perspective, Il serait nécessaire de :</w:t>
      </w:r>
    </w:p>
    <w:p w14:paraId="64F90D94" w14:textId="77777777" w:rsidR="00C03EC4" w:rsidRPr="002E75D4" w:rsidRDefault="00C03EC4" w:rsidP="00C03EC4">
      <w:pPr>
        <w:pStyle w:val="StylenormalENABEL"/>
        <w:numPr>
          <w:ilvl w:val="0"/>
          <w:numId w:val="57"/>
        </w:numPr>
        <w:spacing w:before="120"/>
        <w:contextualSpacing w:val="0"/>
        <w:rPr>
          <w:rFonts w:asciiTheme="majorHAnsi" w:hAnsiTheme="majorHAnsi" w:cstheme="majorHAnsi"/>
          <w:sz w:val="24"/>
        </w:rPr>
      </w:pPr>
      <w:r w:rsidRPr="002E75D4">
        <w:rPr>
          <w:rFonts w:asciiTheme="majorHAnsi" w:hAnsiTheme="majorHAnsi" w:cstheme="majorHAnsi"/>
          <w:sz w:val="24"/>
        </w:rPr>
        <w:t xml:space="preserve">Promouvoir des activités de sensibilisations des populations et acteurs principaux des effets de la pollution sur la santé et l’environnement ; </w:t>
      </w:r>
    </w:p>
    <w:p w14:paraId="418ADFB3" w14:textId="77777777" w:rsidR="00C03EC4" w:rsidRPr="002E75D4" w:rsidRDefault="00C03EC4" w:rsidP="00C03EC4">
      <w:pPr>
        <w:pStyle w:val="StylenormalENABEL"/>
        <w:numPr>
          <w:ilvl w:val="0"/>
          <w:numId w:val="57"/>
        </w:numPr>
        <w:spacing w:before="120"/>
        <w:contextualSpacing w:val="0"/>
        <w:rPr>
          <w:rFonts w:asciiTheme="majorHAnsi" w:hAnsiTheme="majorHAnsi" w:cstheme="majorHAnsi"/>
          <w:sz w:val="24"/>
        </w:rPr>
      </w:pPr>
      <w:r w:rsidRPr="002E75D4">
        <w:rPr>
          <w:rFonts w:asciiTheme="majorHAnsi" w:hAnsiTheme="majorHAnsi" w:cstheme="majorHAnsi"/>
          <w:sz w:val="24"/>
        </w:rPr>
        <w:t>Impliquer activement les Collectivités décentralisées par l’insertion dans les PDESC des actions de promotion des équipements d’énergie domestique</w:t>
      </w:r>
    </w:p>
    <w:p w14:paraId="07B4B650" w14:textId="77777777" w:rsidR="00C03EC4" w:rsidRPr="002E75D4" w:rsidRDefault="00C03EC4" w:rsidP="00C03EC4">
      <w:pPr>
        <w:pStyle w:val="StylenormalENABEL"/>
        <w:numPr>
          <w:ilvl w:val="0"/>
          <w:numId w:val="57"/>
        </w:numPr>
        <w:spacing w:before="120"/>
        <w:contextualSpacing w:val="0"/>
        <w:rPr>
          <w:rFonts w:asciiTheme="majorHAnsi" w:hAnsiTheme="majorHAnsi" w:cstheme="majorHAnsi"/>
          <w:sz w:val="24"/>
        </w:rPr>
      </w:pPr>
      <w:r w:rsidRPr="002E75D4">
        <w:rPr>
          <w:rFonts w:asciiTheme="majorHAnsi" w:hAnsiTheme="majorHAnsi" w:cstheme="majorHAnsi"/>
          <w:sz w:val="24"/>
        </w:rPr>
        <w:t>Former les leaders communautaires sur la gestion des conflits et la cohésion sociale</w:t>
      </w:r>
    </w:p>
    <w:p w14:paraId="3AC2DE33" w14:textId="77777777" w:rsidR="00C03EC4" w:rsidRPr="002E75D4" w:rsidRDefault="00C03EC4" w:rsidP="00C03EC4">
      <w:pPr>
        <w:pStyle w:val="StylenormalENABEL"/>
        <w:numPr>
          <w:ilvl w:val="0"/>
          <w:numId w:val="57"/>
        </w:numPr>
        <w:spacing w:before="120"/>
        <w:contextualSpacing w:val="0"/>
        <w:rPr>
          <w:rFonts w:asciiTheme="majorHAnsi" w:hAnsiTheme="majorHAnsi" w:cstheme="majorHAnsi"/>
          <w:sz w:val="24"/>
        </w:rPr>
      </w:pPr>
      <w:r w:rsidRPr="002E75D4">
        <w:rPr>
          <w:rFonts w:asciiTheme="majorHAnsi" w:hAnsiTheme="majorHAnsi" w:cstheme="majorHAnsi"/>
          <w:sz w:val="24"/>
        </w:rPr>
        <w:t>Promouvoir l’intercommunalité autour des conventions locales de gestion des ressources naturelles</w:t>
      </w:r>
    </w:p>
    <w:p w14:paraId="60D31AC6" w14:textId="77777777" w:rsidR="00C03EC4" w:rsidRPr="002E75D4" w:rsidRDefault="00C03EC4" w:rsidP="00C03EC4">
      <w:pPr>
        <w:pStyle w:val="StylenormalENABEL"/>
        <w:numPr>
          <w:ilvl w:val="0"/>
          <w:numId w:val="57"/>
        </w:numPr>
        <w:spacing w:before="120"/>
        <w:contextualSpacing w:val="0"/>
        <w:rPr>
          <w:rFonts w:asciiTheme="majorHAnsi" w:hAnsiTheme="majorHAnsi" w:cstheme="majorHAnsi"/>
          <w:sz w:val="24"/>
        </w:rPr>
      </w:pPr>
      <w:r w:rsidRPr="002E75D4">
        <w:rPr>
          <w:rFonts w:asciiTheme="majorHAnsi" w:hAnsiTheme="majorHAnsi" w:cstheme="majorHAnsi"/>
          <w:sz w:val="24"/>
        </w:rPr>
        <w:t xml:space="preserve">En complément des ressources mises en place par le Mali, former une équipe technique d’évaluation des polluants climatiques de courte durée (SLCPs) susceptibles d’agir sur la santé humaine, la végétation et les changements climatiques. </w:t>
      </w:r>
    </w:p>
    <w:p w14:paraId="1DB70C60" w14:textId="77777777" w:rsidR="00C03EC4" w:rsidRPr="002E75D4" w:rsidRDefault="00C03EC4" w:rsidP="00C03EC4">
      <w:pPr>
        <w:pStyle w:val="StylenormalENABEL"/>
        <w:rPr>
          <w:rFonts w:asciiTheme="majorHAnsi" w:hAnsiTheme="majorHAnsi" w:cstheme="majorHAnsi"/>
          <w:sz w:val="24"/>
        </w:rPr>
      </w:pPr>
    </w:p>
    <w:p w14:paraId="12628EAD" w14:textId="77777777" w:rsidR="00C03EC4" w:rsidRDefault="00C03EC4" w:rsidP="00C03EC4">
      <w:pPr>
        <w:pStyle w:val="StylenormalENABEL"/>
        <w:spacing w:after="120" w:line="276" w:lineRule="auto"/>
        <w:contextualSpacing w:val="0"/>
        <w:rPr>
          <w:rFonts w:asciiTheme="majorHAnsi" w:hAnsiTheme="majorHAnsi" w:cstheme="majorHAnsi"/>
          <w:sz w:val="24"/>
        </w:rPr>
      </w:pPr>
    </w:p>
    <w:p w14:paraId="6A08477B" w14:textId="77777777" w:rsidR="00C03EC4" w:rsidRPr="002E75D4" w:rsidRDefault="00C03EC4" w:rsidP="00C03EC4">
      <w:pPr>
        <w:pStyle w:val="StylenormalENABEL"/>
        <w:spacing w:after="120" w:line="276" w:lineRule="auto"/>
        <w:contextualSpacing w:val="0"/>
        <w:rPr>
          <w:rFonts w:asciiTheme="majorHAnsi" w:hAnsiTheme="majorHAnsi" w:cstheme="majorHAnsi"/>
          <w:sz w:val="24"/>
        </w:rPr>
      </w:pPr>
      <w:r w:rsidRPr="002E75D4">
        <w:rPr>
          <w:rFonts w:asciiTheme="majorHAnsi" w:hAnsiTheme="majorHAnsi" w:cstheme="majorHAnsi"/>
          <w:sz w:val="24"/>
        </w:rPr>
        <w:t>Par ailleurs, à travers le groupe thématique "Renforcement des capacités" du CNCCM, plusieurs activités en cours seront poursuivies afin de parvenir aux objectifs de financement des actions et de mise en œuvre de la CDN du Mali à travers des ateliers de :</w:t>
      </w:r>
    </w:p>
    <w:p w14:paraId="5AAB2235" w14:textId="77777777" w:rsidR="00C03EC4" w:rsidRPr="002E75D4" w:rsidRDefault="00C03EC4" w:rsidP="00C03EC4">
      <w:pPr>
        <w:pStyle w:val="StylenormalENABEL"/>
        <w:numPr>
          <w:ilvl w:val="0"/>
          <w:numId w:val="58"/>
        </w:numPr>
        <w:spacing w:before="120" w:after="120" w:line="276" w:lineRule="auto"/>
        <w:contextualSpacing w:val="0"/>
        <w:rPr>
          <w:rFonts w:asciiTheme="majorHAnsi" w:hAnsiTheme="majorHAnsi" w:cstheme="majorHAnsi"/>
          <w:sz w:val="24"/>
        </w:rPr>
      </w:pPr>
      <w:r w:rsidRPr="002E75D4">
        <w:rPr>
          <w:rFonts w:asciiTheme="majorHAnsi" w:hAnsiTheme="majorHAnsi" w:cstheme="majorHAnsi"/>
          <w:sz w:val="24"/>
        </w:rPr>
        <w:t xml:space="preserve">Échange, de Lobbying et de plaidoyer, de sensibilisation, d'information et de renforcements de capacités, de formation universitaire afin d'impliquer davantage les institutions financières privées du secteur bancaire, les organismes, la société civile, le Genre et les collectivités. </w:t>
      </w:r>
    </w:p>
    <w:p w14:paraId="724C3400" w14:textId="77777777" w:rsidR="00C03EC4" w:rsidRPr="002E75D4" w:rsidRDefault="00C03EC4" w:rsidP="00C03EC4">
      <w:pPr>
        <w:pStyle w:val="StylenormalENABEL"/>
        <w:numPr>
          <w:ilvl w:val="0"/>
          <w:numId w:val="58"/>
        </w:numPr>
        <w:spacing w:before="120" w:after="120" w:line="276" w:lineRule="auto"/>
        <w:contextualSpacing w:val="0"/>
        <w:rPr>
          <w:rFonts w:asciiTheme="majorHAnsi" w:hAnsiTheme="majorHAnsi" w:cstheme="majorHAnsi"/>
          <w:sz w:val="24"/>
        </w:rPr>
      </w:pPr>
      <w:r w:rsidRPr="002E75D4">
        <w:rPr>
          <w:rFonts w:asciiTheme="majorHAnsi" w:hAnsiTheme="majorHAnsi" w:cstheme="majorHAnsi"/>
          <w:sz w:val="24"/>
        </w:rPr>
        <w:t>Sensibilisation sur la CDN aux niveaux des parties prenantes suivantes : AN, CESC, HCC, secteur privé (Conseil national du patronat du Mali), PTF, société civile, AMM, Bâtiments et Travaux Publics, CMDT, Régions de Koulikoro, Kayes, Mopti, Ménaka, Gao, Tombouctou, Kidal, Ségou, Sikasso, Taoudéni et le district de Bamako.</w:t>
      </w:r>
    </w:p>
    <w:p w14:paraId="7073E1A7" w14:textId="77777777" w:rsidR="00C03EC4" w:rsidRPr="00F24A9E" w:rsidRDefault="00C03EC4" w:rsidP="00C03EC4">
      <w:pPr>
        <w:spacing w:before="40"/>
        <w:ind w:right="141"/>
        <w:jc w:val="both"/>
        <w:rPr>
          <w:rFonts w:asciiTheme="majorHAnsi" w:hAnsiTheme="majorHAnsi" w:cstheme="majorHAnsi"/>
          <w:b/>
          <w:sz w:val="34"/>
          <w:szCs w:val="34"/>
        </w:rPr>
      </w:pPr>
      <w:r w:rsidRPr="00F24A9E">
        <w:rPr>
          <w:rFonts w:asciiTheme="majorHAnsi" w:hAnsiTheme="majorHAnsi" w:cstheme="majorHAnsi"/>
          <w:b/>
          <w:sz w:val="34"/>
          <w:szCs w:val="34"/>
        </w:rPr>
        <w:t>6.</w:t>
      </w:r>
      <w:r>
        <w:rPr>
          <w:rFonts w:asciiTheme="majorHAnsi" w:hAnsiTheme="majorHAnsi" w:cstheme="majorHAnsi"/>
          <w:b/>
          <w:sz w:val="34"/>
          <w:szCs w:val="34"/>
        </w:rPr>
        <w:t>4</w:t>
      </w:r>
      <w:r w:rsidRPr="00F24A9E">
        <w:rPr>
          <w:rFonts w:asciiTheme="majorHAnsi" w:hAnsiTheme="majorHAnsi" w:cstheme="majorHAnsi"/>
          <w:b/>
          <w:sz w:val="34"/>
          <w:szCs w:val="34"/>
        </w:rPr>
        <w:t xml:space="preserve"> CADRE DE GESTION ET AMELIORATIONS POUR LE SUIVI DE LA CDN</w:t>
      </w:r>
    </w:p>
    <w:p w14:paraId="28A4B509"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Le cadre institutionnel des changements climatiques au Mali est organisé autour des acteurs du Conseil National de l’Environnement. Il regroupe les structures étatiques, les acteurs privés, la société civile et les partenaires techniques et financiers.</w:t>
      </w:r>
    </w:p>
    <w:p w14:paraId="51C1ED5D"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Pour la mise en œuvre des Accords Multilatéraux sur l’Environnement (AME), des actions importantes sont menées, notamment : l’élaboration et l’adoption d’une multitude de textes législatifs et réglementaires pour gérer les questions environnementales en général et des changements climatiques en particulier.</w:t>
      </w:r>
    </w:p>
    <w:p w14:paraId="17BBF37C" w14:textId="77777777" w:rsidR="00C03EC4" w:rsidRPr="002E75D4" w:rsidRDefault="00C03EC4" w:rsidP="00C03EC4">
      <w:pPr>
        <w:autoSpaceDE w:val="0"/>
        <w:autoSpaceDN w:val="0"/>
        <w:adjustRightInd w:val="0"/>
        <w:spacing w:before="24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Un Comité de Pilotage du Conseil National Changement Climatique du Mali (CNCCM) et un Comité Technique et Scientifique du BUR, responsable de la qualité scientifique et technique des rapports d’études et de tous les documents élaborés dans le cadre du BUR Mali ont été créés.  </w:t>
      </w:r>
    </w:p>
    <w:p w14:paraId="2078A8B3" w14:textId="77777777" w:rsidR="00C03EC4" w:rsidRPr="002E75D4" w:rsidRDefault="00C03EC4" w:rsidP="00C03EC4">
      <w:pPr>
        <w:spacing w:after="0" w:line="240" w:lineRule="auto"/>
        <w:jc w:val="both"/>
        <w:rPr>
          <w:rFonts w:asciiTheme="majorHAnsi" w:hAnsiTheme="majorHAnsi" w:cstheme="majorHAnsi"/>
          <w:sz w:val="24"/>
          <w:szCs w:val="24"/>
        </w:rPr>
      </w:pPr>
    </w:p>
    <w:p w14:paraId="4FECADE6"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De plus, le Cadre National des Services Climatiques (CNSC), mis en place par MALI-METEO permet de fédérer les actions relatives à la sécurité alimentaire, les ressources en eau et les catastrophes naturelles.  </w:t>
      </w:r>
    </w:p>
    <w:p w14:paraId="45D82659" w14:textId="77777777" w:rsidR="00C03EC4" w:rsidRPr="002E75D4" w:rsidRDefault="00C03EC4" w:rsidP="00C03EC4">
      <w:pPr>
        <w:autoSpaceDE w:val="0"/>
        <w:autoSpaceDN w:val="0"/>
        <w:adjustRightInd w:val="0"/>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Par ailleurs, il faut noter que la coordination de la mise en œuvre de la Politique Nationale sur les Changements Climatiques (PNCC), l’élaboration des communications nationales, des Contributions Déterminées au niveau National (CDN) et des rapports biennaux (BUR) relèvent du MEADD à travers l’AEDD. </w:t>
      </w:r>
    </w:p>
    <w:p w14:paraId="1043FD5A" w14:textId="77777777" w:rsidR="00C03EC4" w:rsidRPr="002E75D4" w:rsidRDefault="00C03EC4" w:rsidP="00C03EC4">
      <w:pPr>
        <w:autoSpaceDE w:val="0"/>
        <w:autoSpaceDN w:val="0"/>
        <w:adjustRightInd w:val="0"/>
        <w:spacing w:before="240" w:line="240" w:lineRule="auto"/>
        <w:jc w:val="both"/>
        <w:rPr>
          <w:rFonts w:asciiTheme="majorHAnsi" w:hAnsiTheme="majorHAnsi" w:cstheme="majorHAnsi"/>
          <w:sz w:val="24"/>
          <w:szCs w:val="24"/>
        </w:rPr>
      </w:pPr>
      <w:r w:rsidRPr="002E75D4">
        <w:rPr>
          <w:rFonts w:asciiTheme="majorHAnsi" w:hAnsiTheme="majorHAnsi" w:cstheme="majorHAnsi"/>
          <w:sz w:val="24"/>
          <w:szCs w:val="24"/>
        </w:rPr>
        <w:t>En ce qui concerne la révision de la CDN, un dispositif institutionnel de gestion de la mise en œuvre et du suivi a été mis en place et conduit par l’AEDD, avec des objectifs précis, de manière à favoriser l’implication des parties prenantes (ministères sectoriels en charge de l’environnement, l’énergie, l’agriculture, la Foresterie, les déchets et autres secteurs ciblés).</w:t>
      </w:r>
    </w:p>
    <w:p w14:paraId="1B5B1115" w14:textId="77777777" w:rsidR="00C03EC4" w:rsidRPr="002E75D4" w:rsidRDefault="00C03EC4" w:rsidP="00C03EC4">
      <w:pPr>
        <w:autoSpaceDE w:val="0"/>
        <w:autoSpaceDN w:val="0"/>
        <w:spacing w:line="240" w:lineRule="auto"/>
        <w:jc w:val="both"/>
        <w:rPr>
          <w:rFonts w:asciiTheme="majorHAnsi" w:hAnsiTheme="majorHAnsi" w:cstheme="majorHAnsi"/>
          <w:spacing w:val="4"/>
          <w:sz w:val="24"/>
          <w:szCs w:val="24"/>
        </w:rPr>
      </w:pPr>
      <w:r w:rsidRPr="002E75D4">
        <w:rPr>
          <w:rFonts w:asciiTheme="majorHAnsi" w:hAnsiTheme="majorHAnsi" w:cstheme="majorHAnsi"/>
          <w:spacing w:val="4"/>
          <w:sz w:val="24"/>
          <w:szCs w:val="24"/>
        </w:rPr>
        <w:t xml:space="preserve">Un comité de suivi et de coordination, composé des membres (structures étatiques, société civile, secteur privé, collectivités territoriales, organisations des jeunes et des personnes ressources) est mis en place et bénéficie de l’accompagnement des partenaires techniques et financiers. </w:t>
      </w:r>
    </w:p>
    <w:p w14:paraId="0FAB0CA0" w14:textId="77777777" w:rsidR="00C03EC4" w:rsidRPr="002E75D4" w:rsidRDefault="00C03EC4" w:rsidP="00C03EC4">
      <w:pPr>
        <w:pStyle w:val="CorpsAAA"/>
        <w:jc w:val="both"/>
        <w:rPr>
          <w:rFonts w:asciiTheme="majorHAnsi" w:hAnsiTheme="majorHAnsi" w:cstheme="majorHAnsi"/>
          <w:color w:val="auto"/>
          <w:sz w:val="24"/>
          <w:szCs w:val="24"/>
        </w:rPr>
      </w:pPr>
      <w:r w:rsidRPr="002E75D4">
        <w:rPr>
          <w:rFonts w:asciiTheme="majorHAnsi" w:hAnsiTheme="majorHAnsi" w:cstheme="majorHAnsi"/>
          <w:color w:val="auto"/>
          <w:sz w:val="24"/>
          <w:szCs w:val="24"/>
        </w:rPr>
        <w:t>Ce dispositif de coordination et de suivi de la mise en œuvre de la CDN</w:t>
      </w:r>
      <w:r w:rsidRPr="002E75D4">
        <w:rPr>
          <w:rStyle w:val="Aucun"/>
          <w:rFonts w:asciiTheme="majorHAnsi" w:hAnsiTheme="majorHAnsi" w:cstheme="majorHAnsi"/>
          <w:color w:val="auto"/>
          <w:sz w:val="24"/>
          <w:szCs w:val="24"/>
        </w:rPr>
        <w:t xml:space="preserve"> </w:t>
      </w:r>
      <w:r w:rsidRPr="002E75D4">
        <w:rPr>
          <w:rFonts w:asciiTheme="majorHAnsi" w:hAnsiTheme="majorHAnsi" w:cstheme="majorHAnsi"/>
          <w:color w:val="auto"/>
          <w:sz w:val="24"/>
          <w:szCs w:val="24"/>
        </w:rPr>
        <w:t xml:space="preserve">a permis de  </w:t>
      </w:r>
    </w:p>
    <w:p w14:paraId="3010203B" w14:textId="77777777" w:rsidR="00C03EC4" w:rsidRPr="002E75D4" w:rsidRDefault="00C03EC4" w:rsidP="00C03EC4">
      <w:pPr>
        <w:pStyle w:val="CorpsAAA"/>
        <w:numPr>
          <w:ilvl w:val="0"/>
          <w:numId w:val="59"/>
        </w:numPr>
        <w:spacing w:before="120"/>
        <w:jc w:val="both"/>
        <w:rPr>
          <w:rStyle w:val="AucunA"/>
          <w:rFonts w:asciiTheme="majorHAnsi" w:hAnsiTheme="majorHAnsi" w:cstheme="majorHAnsi"/>
          <w:color w:val="auto"/>
          <w:sz w:val="24"/>
        </w:rPr>
      </w:pPr>
      <w:r w:rsidRPr="002E75D4">
        <w:rPr>
          <w:rFonts w:asciiTheme="majorHAnsi" w:hAnsiTheme="majorHAnsi" w:cstheme="majorHAnsi"/>
          <w:color w:val="auto"/>
          <w:sz w:val="24"/>
          <w:szCs w:val="24"/>
        </w:rPr>
        <w:t xml:space="preserve">Etablir </w:t>
      </w:r>
      <w:r w:rsidRPr="002E75D4">
        <w:rPr>
          <w:rStyle w:val="AucunA"/>
          <w:rFonts w:asciiTheme="majorHAnsi" w:hAnsiTheme="majorHAnsi" w:cstheme="majorHAnsi"/>
          <w:color w:val="auto"/>
          <w:sz w:val="24"/>
        </w:rPr>
        <w:t xml:space="preserve">un plan d’investissement, </w:t>
      </w:r>
      <w:r w:rsidRPr="002E75D4">
        <w:rPr>
          <w:rFonts w:asciiTheme="majorHAnsi" w:hAnsiTheme="majorHAnsi" w:cstheme="majorHAnsi"/>
          <w:color w:val="auto"/>
          <w:sz w:val="24"/>
          <w:szCs w:val="24"/>
        </w:rPr>
        <w:t xml:space="preserve">décliné en programmes et projets avec leurs coûts et identification des partenaires financiers. Sa mise en œuvre </w:t>
      </w:r>
      <w:r w:rsidRPr="002E75D4">
        <w:rPr>
          <w:rStyle w:val="AucunA"/>
          <w:rFonts w:asciiTheme="majorHAnsi" w:hAnsiTheme="majorHAnsi" w:cstheme="majorHAnsi"/>
          <w:color w:val="auto"/>
          <w:sz w:val="24"/>
        </w:rPr>
        <w:t>contribue à l’atteinte des objectifs, lesquels visent à la réduction des émissions de gaz à effets de serre ;</w:t>
      </w:r>
    </w:p>
    <w:p w14:paraId="75B1438F" w14:textId="77777777" w:rsidR="00C03EC4" w:rsidRPr="002E75D4" w:rsidRDefault="00C03EC4" w:rsidP="00C03EC4">
      <w:pPr>
        <w:pStyle w:val="CorpsAAA"/>
        <w:numPr>
          <w:ilvl w:val="0"/>
          <w:numId w:val="59"/>
        </w:numPr>
        <w:spacing w:before="120"/>
        <w:jc w:val="both"/>
        <w:rPr>
          <w:rStyle w:val="AucunA"/>
          <w:rFonts w:asciiTheme="majorHAnsi" w:hAnsiTheme="majorHAnsi" w:cstheme="majorHAnsi"/>
          <w:color w:val="auto"/>
          <w:sz w:val="24"/>
        </w:rPr>
      </w:pPr>
      <w:r w:rsidRPr="002E75D4">
        <w:rPr>
          <w:rStyle w:val="AucunA"/>
          <w:rFonts w:asciiTheme="majorHAnsi" w:hAnsiTheme="majorHAnsi" w:cstheme="majorHAnsi"/>
          <w:color w:val="auto"/>
          <w:sz w:val="24"/>
        </w:rPr>
        <w:t>Disposer d’une expertise avérée en genre et changement climatique pour appuyer le comité de suivi et de coordination.</w:t>
      </w:r>
    </w:p>
    <w:p w14:paraId="2C79B3C5" w14:textId="77777777" w:rsidR="00C03EC4" w:rsidRPr="002E75D4" w:rsidRDefault="00C03EC4" w:rsidP="00C03EC4">
      <w:pPr>
        <w:pStyle w:val="CorpsAAA"/>
        <w:numPr>
          <w:ilvl w:val="0"/>
          <w:numId w:val="59"/>
        </w:numPr>
        <w:spacing w:before="120"/>
        <w:jc w:val="both"/>
        <w:rPr>
          <w:rStyle w:val="AucunA"/>
          <w:rFonts w:asciiTheme="majorHAnsi" w:hAnsiTheme="majorHAnsi" w:cstheme="majorHAnsi"/>
          <w:color w:val="auto"/>
          <w:sz w:val="24"/>
        </w:rPr>
      </w:pPr>
      <w:r w:rsidRPr="002E75D4">
        <w:rPr>
          <w:rStyle w:val="AucunA"/>
          <w:rFonts w:asciiTheme="majorHAnsi" w:hAnsiTheme="majorHAnsi" w:cstheme="majorHAnsi"/>
          <w:color w:val="auto"/>
          <w:sz w:val="24"/>
        </w:rPr>
        <w:t>Mettre en place un mécanisme de communication, devant favoriser la circulation des informations et l’engagement des partenaires nationaux et internationaux pour la mobilisation des ressources.</w:t>
      </w:r>
    </w:p>
    <w:p w14:paraId="53F258EB" w14:textId="77777777" w:rsidR="00C03EC4" w:rsidRPr="002E75D4" w:rsidRDefault="00C03EC4" w:rsidP="00C03EC4">
      <w:pPr>
        <w:pStyle w:val="CorpsA"/>
        <w:numPr>
          <w:ilvl w:val="0"/>
          <w:numId w:val="59"/>
        </w:numPr>
        <w:tabs>
          <w:tab w:val="left" w:pos="1025"/>
        </w:tabs>
        <w:spacing w:before="120"/>
        <w:jc w:val="both"/>
        <w:rPr>
          <w:rFonts w:asciiTheme="majorHAnsi" w:hAnsiTheme="majorHAnsi" w:cstheme="majorHAnsi"/>
          <w:color w:val="auto"/>
          <w:lang w:val="fr-FR"/>
        </w:rPr>
      </w:pPr>
      <w:r w:rsidRPr="002E75D4">
        <w:rPr>
          <w:rFonts w:asciiTheme="majorHAnsi" w:hAnsiTheme="majorHAnsi" w:cstheme="majorHAnsi"/>
          <w:color w:val="auto"/>
          <w:lang w:val="fr-FR"/>
        </w:rPr>
        <w:t>Collecter des données aux niveaux des systèmes d’information existants (SNGIE, SIFOR, SNIE et autres ;</w:t>
      </w:r>
    </w:p>
    <w:p w14:paraId="134A0CBC" w14:textId="77777777" w:rsidR="00C03EC4" w:rsidRPr="002E75D4" w:rsidRDefault="00C03EC4" w:rsidP="00C03EC4">
      <w:pPr>
        <w:pStyle w:val="CorpsA"/>
        <w:numPr>
          <w:ilvl w:val="0"/>
          <w:numId w:val="59"/>
        </w:numPr>
        <w:tabs>
          <w:tab w:val="left" w:pos="1025"/>
        </w:tabs>
        <w:spacing w:before="120"/>
        <w:jc w:val="both"/>
        <w:rPr>
          <w:rFonts w:asciiTheme="majorHAnsi" w:hAnsiTheme="majorHAnsi" w:cstheme="majorHAnsi"/>
          <w:color w:val="auto"/>
          <w:lang w:val="fr-FR"/>
        </w:rPr>
      </w:pPr>
      <w:r w:rsidRPr="002E75D4">
        <w:rPr>
          <w:rFonts w:asciiTheme="majorHAnsi" w:hAnsiTheme="majorHAnsi" w:cstheme="majorHAnsi"/>
          <w:color w:val="auto"/>
          <w:lang w:val="fr-FR"/>
        </w:rPr>
        <w:t>Rendre compte régulièrement au Ministre et aux partenaires des évolutions de l’exécution de toutes les étapes de la révision de la CDN ;</w:t>
      </w:r>
    </w:p>
    <w:p w14:paraId="1AD74837" w14:textId="77777777" w:rsidR="00C03EC4" w:rsidRPr="002E75D4" w:rsidRDefault="00C03EC4" w:rsidP="00C03EC4">
      <w:pPr>
        <w:pStyle w:val="CorpsA"/>
        <w:numPr>
          <w:ilvl w:val="0"/>
          <w:numId w:val="59"/>
        </w:numPr>
        <w:tabs>
          <w:tab w:val="left" w:pos="1025"/>
        </w:tabs>
        <w:spacing w:before="120"/>
        <w:jc w:val="both"/>
        <w:rPr>
          <w:rFonts w:asciiTheme="majorHAnsi" w:hAnsiTheme="majorHAnsi" w:cstheme="majorHAnsi"/>
          <w:color w:val="auto"/>
          <w:lang w:val="fr-FR"/>
        </w:rPr>
      </w:pPr>
      <w:r w:rsidRPr="002E75D4">
        <w:rPr>
          <w:rFonts w:asciiTheme="majorHAnsi" w:hAnsiTheme="majorHAnsi" w:cstheme="majorHAnsi"/>
          <w:color w:val="auto"/>
          <w:lang w:val="fr-FR"/>
        </w:rPr>
        <w:t xml:space="preserve">Créer la </w:t>
      </w:r>
      <w:r w:rsidRPr="002E75D4">
        <w:rPr>
          <w:rFonts w:asciiTheme="majorHAnsi" w:eastAsiaTheme="minorHAnsi" w:hAnsiTheme="majorHAnsi" w:cstheme="majorHAnsi"/>
          <w:color w:val="auto"/>
          <w:lang w:val="fr-FR"/>
        </w:rPr>
        <w:t>plateforme d’échange science et politique C-CASA du Mali</w:t>
      </w:r>
      <w:r w:rsidRPr="002E75D4">
        <w:rPr>
          <w:rFonts w:asciiTheme="majorHAnsi" w:hAnsiTheme="majorHAnsi" w:cstheme="majorHAnsi"/>
          <w:color w:val="auto"/>
          <w:lang w:val="fr-FR"/>
        </w:rPr>
        <w:t xml:space="preserve">, laquelle </w:t>
      </w:r>
      <w:r w:rsidRPr="002E75D4">
        <w:rPr>
          <w:rFonts w:asciiTheme="majorHAnsi" w:eastAsiaTheme="minorHAnsi" w:hAnsiTheme="majorHAnsi" w:cstheme="majorHAnsi"/>
          <w:color w:val="auto"/>
          <w:lang w:val="fr-FR"/>
        </w:rPr>
        <w:t>regroupe les principaux acteurs institutionnels pouvant impulser la prise en compte des changements climatiques dans toutes les politiques et action</w:t>
      </w:r>
      <w:r w:rsidRPr="002E75D4">
        <w:rPr>
          <w:rFonts w:asciiTheme="majorHAnsi" w:hAnsiTheme="majorHAnsi" w:cstheme="majorHAnsi"/>
          <w:color w:val="auto"/>
          <w:lang w:val="fr-FR"/>
        </w:rPr>
        <w:t>s du développement rural ;</w:t>
      </w:r>
    </w:p>
    <w:p w14:paraId="4FFA1722" w14:textId="77777777" w:rsidR="00C03EC4" w:rsidRDefault="00C03EC4" w:rsidP="00C03EC4">
      <w:pPr>
        <w:pStyle w:val="CorpsA"/>
        <w:numPr>
          <w:ilvl w:val="0"/>
          <w:numId w:val="59"/>
        </w:numPr>
        <w:tabs>
          <w:tab w:val="left" w:pos="1025"/>
        </w:tabs>
        <w:spacing w:before="120"/>
        <w:jc w:val="both"/>
        <w:rPr>
          <w:rFonts w:asciiTheme="majorHAnsi" w:hAnsiTheme="majorHAnsi" w:cstheme="majorHAnsi"/>
          <w:color w:val="auto"/>
          <w:lang w:val="fr-FR"/>
        </w:rPr>
      </w:pPr>
      <w:r w:rsidRPr="002E75D4">
        <w:rPr>
          <w:rFonts w:asciiTheme="majorHAnsi" w:hAnsiTheme="majorHAnsi" w:cstheme="majorHAnsi"/>
          <w:color w:val="auto"/>
          <w:lang w:val="fr-FR"/>
        </w:rPr>
        <w:t xml:space="preserve">Mettre en place un programme Climat au niveau de la Direction de l’Environnement et du Développement Durable (DEDD), dédiée exclusivement à la prise en compte des questions environnementales, avec pour principales missions la contribution à la mise en œuvre de la stratégie de management de la Protection Environnementale et du Développement Durable, dont l’impact vise l’adaptation des paysans aux effets néfastes des changements climatiques et l’atténuation de leurs effets. </w:t>
      </w:r>
      <w:r w:rsidRPr="002E75D4">
        <w:rPr>
          <w:rStyle w:val="Aucun"/>
          <w:rFonts w:asciiTheme="majorHAnsi" w:hAnsiTheme="majorHAnsi" w:cstheme="majorHAnsi"/>
          <w:color w:val="auto"/>
        </w:rPr>
        <w:t>Concernant, le système MRV</w:t>
      </w:r>
      <w:r w:rsidRPr="002E75D4">
        <w:rPr>
          <w:rFonts w:asciiTheme="majorHAnsi" w:hAnsiTheme="majorHAnsi" w:cstheme="majorHAnsi"/>
          <w:color w:val="auto"/>
          <w:lang w:val="fr-FR"/>
        </w:rPr>
        <w:t xml:space="preserve"> de suivi des émissions, il est </w:t>
      </w:r>
      <w:r w:rsidRPr="002E75D4">
        <w:rPr>
          <w:rStyle w:val="Aucun"/>
          <w:rFonts w:asciiTheme="majorHAnsi" w:hAnsiTheme="majorHAnsi" w:cstheme="majorHAnsi"/>
          <w:color w:val="auto"/>
        </w:rPr>
        <w:t xml:space="preserve">basé sur le système de collecte des données pour les Rapportages et Vérifications. Il est l’outil du cadre institutionnel de suivi des émissions, où le MEADD est le superviseur général </w:t>
      </w:r>
      <w:r w:rsidRPr="002E75D4">
        <w:rPr>
          <w:rFonts w:asciiTheme="majorHAnsi" w:hAnsiTheme="majorHAnsi" w:cstheme="majorHAnsi"/>
          <w:color w:val="auto"/>
          <w:lang w:val="fr-FR"/>
        </w:rPr>
        <w:t xml:space="preserve">du système national </w:t>
      </w:r>
      <w:r w:rsidRPr="002E75D4">
        <w:rPr>
          <w:rStyle w:val="Aucun"/>
          <w:rFonts w:asciiTheme="majorHAnsi" w:hAnsiTheme="majorHAnsi" w:cstheme="majorHAnsi"/>
          <w:color w:val="auto"/>
        </w:rPr>
        <w:t xml:space="preserve">en collaboration avec les parties prenantes et, l’AEDD est l’entité </w:t>
      </w:r>
      <w:r w:rsidRPr="002E75D4">
        <w:rPr>
          <w:rFonts w:asciiTheme="majorHAnsi" w:hAnsiTheme="majorHAnsi" w:cstheme="majorHAnsi"/>
          <w:color w:val="auto"/>
          <w:lang w:val="fr-FR"/>
        </w:rPr>
        <w:t>centrale chargée de coordonner et de superviser les dispositions institutionnelles</w:t>
      </w:r>
      <w:r w:rsidRPr="002E75D4">
        <w:rPr>
          <w:rStyle w:val="Aucun"/>
          <w:rFonts w:asciiTheme="majorHAnsi" w:hAnsiTheme="majorHAnsi" w:cstheme="majorHAnsi"/>
          <w:color w:val="auto"/>
        </w:rPr>
        <w:t xml:space="preserve"> d</w:t>
      </w:r>
      <w:r w:rsidRPr="002E75D4">
        <w:rPr>
          <w:rFonts w:asciiTheme="majorHAnsi" w:hAnsiTheme="majorHAnsi" w:cstheme="majorHAnsi"/>
          <w:color w:val="auto"/>
          <w:lang w:val="fr-FR"/>
        </w:rPr>
        <w:t>es activités des groupes de travail.</w:t>
      </w:r>
    </w:p>
    <w:p w14:paraId="4856532F" w14:textId="77777777" w:rsidR="00C03EC4" w:rsidRDefault="00C03EC4" w:rsidP="00C03EC4">
      <w:pPr>
        <w:pStyle w:val="CorpsA"/>
        <w:tabs>
          <w:tab w:val="left" w:pos="1025"/>
        </w:tabs>
        <w:spacing w:before="120"/>
        <w:jc w:val="both"/>
        <w:rPr>
          <w:rFonts w:asciiTheme="majorHAnsi" w:hAnsiTheme="majorHAnsi" w:cstheme="majorHAnsi"/>
          <w:color w:val="auto"/>
          <w:lang w:val="fr-FR"/>
        </w:rPr>
      </w:pPr>
    </w:p>
    <w:p w14:paraId="32C21821" w14:textId="77777777" w:rsidR="00C03EC4" w:rsidRPr="00F24A9E" w:rsidRDefault="00C03EC4" w:rsidP="00C03EC4">
      <w:pPr>
        <w:jc w:val="both"/>
        <w:rPr>
          <w:rFonts w:asciiTheme="majorHAnsi" w:hAnsiTheme="majorHAnsi" w:cstheme="majorHAnsi"/>
          <w:b/>
          <w:sz w:val="34"/>
          <w:szCs w:val="34"/>
        </w:rPr>
      </w:pPr>
      <w:r w:rsidRPr="00F24A9E">
        <w:rPr>
          <w:rFonts w:asciiTheme="majorHAnsi" w:hAnsiTheme="majorHAnsi" w:cstheme="majorHAnsi"/>
          <w:b/>
          <w:sz w:val="34"/>
          <w:szCs w:val="34"/>
        </w:rPr>
        <w:t>6.5 ORIENTATIONS POUR LA CREATION D’UN MRV CLIMAT AU MALI</w:t>
      </w:r>
    </w:p>
    <w:p w14:paraId="5B246C99" w14:textId="77777777" w:rsidR="00C03EC4" w:rsidRPr="002E75D4" w:rsidRDefault="00C03EC4" w:rsidP="00C03EC4">
      <w:pPr>
        <w:widowControl w:val="0"/>
        <w:overflowPunct w:val="0"/>
        <w:adjustRightInd w:val="0"/>
        <w:spacing w:line="360" w:lineRule="auto"/>
        <w:jc w:val="both"/>
        <w:outlineLvl w:val="0"/>
        <w:rPr>
          <w:rFonts w:asciiTheme="majorHAnsi" w:hAnsiTheme="majorHAnsi" w:cstheme="majorHAnsi"/>
          <w:b/>
          <w:bCs/>
          <w:sz w:val="24"/>
          <w:szCs w:val="24"/>
        </w:rPr>
      </w:pPr>
      <w:r w:rsidRPr="002E75D4">
        <w:rPr>
          <w:rFonts w:asciiTheme="majorHAnsi" w:hAnsiTheme="majorHAnsi" w:cstheme="majorHAnsi"/>
          <w:b/>
          <w:bCs/>
          <w:sz w:val="24"/>
          <w:szCs w:val="24"/>
        </w:rPr>
        <w:t xml:space="preserve">Informations sur les Mesures, Notifications et vérifications nationales </w:t>
      </w:r>
    </w:p>
    <w:p w14:paraId="1F6715C8"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plan d'action de Bali a introduit le principe de mesure, de notification et de vérification (MN V) pour les pays développés et en développement parties afin de renforcer l'action aux niveaux international et national pour atténuer le changement climatique. La décision 1/CP.13 du Plan d'action de Bali stipule, dans son paragraphe 1(b) du dispositif, que "l'action renforcée au niveau national/international pour l'atténuation des changements climatiques" inclurait la prise en compte, entre autres, des pays en développement parties :  </w:t>
      </w:r>
    </w:p>
    <w:p w14:paraId="50BB5838"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"Des mesures d'atténuation appropriées au niveau national de la part des pays en développement parties dans le cadre du développement durable, soutenues et rendues possibles par la technologie, le financement et le renforcement des capacités, d'une manière mesurable, notifiable et vérifiable "  </w:t>
      </w:r>
    </w:p>
    <w:p w14:paraId="3E344FE2"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Les paragraphes 61 et 62 de la décision 1/CP.16 obligent les Parties non visées à l'annexe I à mesurer, notifier et vérifier également les mesures d'atténuation soutenues au niveau national et international, ces dernières étant également soumises au MRV international. Le MRV favorise la transparence et l'exactitude des informations relatives à l'atténuation tout en permettant le suivi des réductions d'émissions et du soutien reçu et nécessaire à la mise en œuvre des mesures d'atténuation. D'où la nécessité pour les parties non visées à l'annexe I d'élaborer et de mettre en œuvre un système national de MNV pour honorer leur engagement au titre de cette décision. </w:t>
      </w:r>
    </w:p>
    <w:p w14:paraId="77E96E62" w14:textId="77777777" w:rsidR="00C03EC4" w:rsidRPr="002E75D4" w:rsidRDefault="00C03EC4" w:rsidP="00C03EC4">
      <w:pPr>
        <w:spacing w:line="240" w:lineRule="auto"/>
        <w:jc w:val="both"/>
        <w:outlineLvl w:val="1"/>
        <w:rPr>
          <w:rFonts w:asciiTheme="majorHAnsi" w:hAnsiTheme="majorHAnsi" w:cstheme="majorHAnsi"/>
          <w:b/>
          <w:bCs/>
          <w:sz w:val="24"/>
          <w:szCs w:val="24"/>
        </w:rPr>
      </w:pPr>
      <w:r w:rsidRPr="002E75D4">
        <w:rPr>
          <w:rFonts w:asciiTheme="majorHAnsi" w:hAnsiTheme="majorHAnsi" w:cstheme="majorHAnsi"/>
          <w:b/>
          <w:bCs/>
          <w:sz w:val="24"/>
          <w:szCs w:val="24"/>
        </w:rPr>
        <w:t xml:space="preserve">Procédures générales, principes et exigences pour le MRV </w:t>
      </w:r>
    </w:p>
    <w:p w14:paraId="513CAB46"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Dans le cadre de la Convention, les Parties sont encouragées à établir les procédures générales suivantes afin d'optimiser les ressources limitées pour le MRV national : </w:t>
      </w:r>
    </w:p>
    <w:p w14:paraId="1F837812" w14:textId="77777777" w:rsidR="00C03EC4" w:rsidRPr="002E75D4" w:rsidRDefault="00C03EC4" w:rsidP="00C03EC4">
      <w:pPr>
        <w:pStyle w:val="Paragraphedeliste"/>
        <w:numPr>
          <w:ilvl w:val="0"/>
          <w:numId w:val="61"/>
        </w:numPr>
        <w:spacing w:after="160"/>
        <w:jc w:val="both"/>
        <w:rPr>
          <w:rFonts w:asciiTheme="majorHAnsi" w:hAnsiTheme="majorHAnsi" w:cstheme="majorHAnsi"/>
          <w:sz w:val="24"/>
          <w:szCs w:val="24"/>
        </w:rPr>
      </w:pPr>
      <w:r w:rsidRPr="002E75D4">
        <w:rPr>
          <w:rFonts w:asciiTheme="majorHAnsi" w:hAnsiTheme="majorHAnsi" w:cstheme="majorHAnsi"/>
          <w:sz w:val="24"/>
          <w:szCs w:val="24"/>
        </w:rPr>
        <w:t xml:space="preserve">Désigner une seule entité responsable de la coordination globale du système national de MRV ; </w:t>
      </w:r>
    </w:p>
    <w:p w14:paraId="11A203A3" w14:textId="77777777" w:rsidR="00C03EC4" w:rsidRPr="002E75D4" w:rsidRDefault="00C03EC4" w:rsidP="00C03EC4">
      <w:pPr>
        <w:pStyle w:val="Paragraphedeliste"/>
        <w:numPr>
          <w:ilvl w:val="0"/>
          <w:numId w:val="61"/>
        </w:numPr>
        <w:spacing w:after="160"/>
        <w:jc w:val="both"/>
        <w:rPr>
          <w:rFonts w:asciiTheme="majorHAnsi" w:hAnsiTheme="majorHAnsi" w:cstheme="majorHAnsi"/>
          <w:sz w:val="24"/>
          <w:szCs w:val="24"/>
        </w:rPr>
      </w:pPr>
      <w:r w:rsidRPr="002E75D4">
        <w:rPr>
          <w:rFonts w:asciiTheme="majorHAnsi" w:hAnsiTheme="majorHAnsi" w:cstheme="majorHAnsi"/>
          <w:sz w:val="24"/>
          <w:szCs w:val="24"/>
        </w:rPr>
        <w:t xml:space="preserve">Attribuer les rôles et les responsabilités pour la mise en œuvre du système national de MRV, y compris l'identification des entités responsables de la collecte et de la gestion des données source/pertinentes ; </w:t>
      </w:r>
    </w:p>
    <w:p w14:paraId="0F72476E" w14:textId="77777777" w:rsidR="00C03EC4" w:rsidRPr="002E75D4" w:rsidRDefault="00C03EC4" w:rsidP="00C03EC4">
      <w:pPr>
        <w:pStyle w:val="Paragraphedeliste"/>
        <w:numPr>
          <w:ilvl w:val="0"/>
          <w:numId w:val="61"/>
        </w:numPr>
        <w:spacing w:after="160"/>
        <w:jc w:val="both"/>
        <w:rPr>
          <w:rFonts w:asciiTheme="majorHAnsi" w:hAnsiTheme="majorHAnsi" w:cstheme="majorHAnsi"/>
          <w:sz w:val="24"/>
          <w:szCs w:val="24"/>
        </w:rPr>
      </w:pPr>
      <w:r w:rsidRPr="002E75D4">
        <w:rPr>
          <w:rFonts w:asciiTheme="majorHAnsi" w:hAnsiTheme="majorHAnsi" w:cstheme="majorHAnsi"/>
          <w:sz w:val="24"/>
          <w:szCs w:val="24"/>
        </w:rPr>
        <w:t xml:space="preserve">Établir des calendriers et des plans de travail qui comprennent toutes les étapes du MRV et veiller à ce que suffisamment de temps et de ressources soient disponibles pour permettre aux entités de suivre les meilleures pratiques ; </w:t>
      </w:r>
    </w:p>
    <w:p w14:paraId="2E2AF7D1" w14:textId="77777777" w:rsidR="00C03EC4" w:rsidRPr="002E75D4" w:rsidRDefault="00C03EC4" w:rsidP="00C03EC4">
      <w:pPr>
        <w:pStyle w:val="Paragraphedeliste"/>
        <w:numPr>
          <w:ilvl w:val="0"/>
          <w:numId w:val="61"/>
        </w:numPr>
        <w:spacing w:after="160"/>
        <w:jc w:val="both"/>
        <w:rPr>
          <w:rFonts w:asciiTheme="majorHAnsi" w:hAnsiTheme="majorHAnsi" w:cstheme="majorHAnsi"/>
          <w:sz w:val="24"/>
          <w:szCs w:val="24"/>
        </w:rPr>
      </w:pPr>
      <w:r w:rsidRPr="002E75D4">
        <w:rPr>
          <w:rFonts w:asciiTheme="majorHAnsi" w:hAnsiTheme="majorHAnsi" w:cstheme="majorHAnsi"/>
          <w:sz w:val="24"/>
          <w:szCs w:val="24"/>
        </w:rPr>
        <w:t>Recueillir suffisamment de données d'activité, d'informations sur les processus et de facteurs d'émission, et/ou d'autres paramètres (données source/pertinentes) nécessaires pour étayer la quantification des émissions et des absorptions, pour suivre l'impact de la mise en œuvre des activités de réduction des émissions, et pour vérifier ensuite la méthode choisie et son impact déclaré ;</w:t>
      </w:r>
    </w:p>
    <w:p w14:paraId="4171D0E3" w14:textId="77777777" w:rsidR="00C03EC4" w:rsidRPr="002E75D4" w:rsidRDefault="00C03EC4" w:rsidP="00C03EC4">
      <w:pPr>
        <w:pStyle w:val="Paragraphedeliste"/>
        <w:numPr>
          <w:ilvl w:val="0"/>
          <w:numId w:val="61"/>
        </w:numPr>
        <w:spacing w:after="160"/>
        <w:jc w:val="both"/>
        <w:rPr>
          <w:rFonts w:asciiTheme="majorHAnsi" w:hAnsiTheme="majorHAnsi" w:cstheme="majorHAnsi"/>
          <w:sz w:val="24"/>
          <w:szCs w:val="24"/>
        </w:rPr>
      </w:pPr>
      <w:r w:rsidRPr="002E75D4">
        <w:rPr>
          <w:rFonts w:asciiTheme="majorHAnsi" w:hAnsiTheme="majorHAnsi" w:cstheme="majorHAnsi"/>
          <w:sz w:val="24"/>
          <w:szCs w:val="24"/>
        </w:rPr>
        <w:t>Mesurer les émissions/absorptions ou d'autres paramètres de performance des mesures d'atténuation appropriées au niveau national, évaluer les progrès de ces mesures et fournir un retour d'information pour l'élaboration de mesures d'atténuation renforcées et les besoins de soutien ; et examiner les moyens d'améliorer la qualité des données et autres informations</w:t>
      </w:r>
    </w:p>
    <w:p w14:paraId="466764A3" w14:textId="77777777" w:rsidR="00C03EC4" w:rsidRPr="002E75D4" w:rsidRDefault="00C03EC4" w:rsidP="00C03EC4">
      <w:pPr>
        <w:pStyle w:val="Paragraphedeliste"/>
        <w:spacing w:after="0"/>
        <w:jc w:val="both"/>
        <w:rPr>
          <w:rFonts w:asciiTheme="majorHAnsi" w:hAnsiTheme="majorHAnsi" w:cstheme="majorHAnsi"/>
          <w:sz w:val="24"/>
          <w:szCs w:val="24"/>
        </w:rPr>
      </w:pPr>
    </w:p>
    <w:p w14:paraId="078CA8B2" w14:textId="77777777" w:rsidR="00C03EC4" w:rsidRPr="002E75D4" w:rsidRDefault="00C03EC4" w:rsidP="00C03EC4">
      <w:pPr>
        <w:spacing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Pour garantir l'intégrité du système national de MNV, le processus devrait être guidé par les cinq principes de notification du guide des bonnes pratiques (BPC) du GIEC, qui sont la cohérence, la transparence, la comparabilité, l'exhaustivité et l'exactitude des informations (CCNUCC, 2009). Le Mali devra s'aligner sur ces principes lors de l'élaboration de son système national de MRV. </w:t>
      </w:r>
    </w:p>
    <w:p w14:paraId="3A306239" w14:textId="77777777" w:rsidR="00C03EC4" w:rsidRPr="002E75D4" w:rsidRDefault="00C03EC4" w:rsidP="00C03EC4">
      <w:pPr>
        <w:spacing w:line="240" w:lineRule="auto"/>
        <w:jc w:val="both"/>
        <w:outlineLvl w:val="1"/>
        <w:rPr>
          <w:rFonts w:asciiTheme="majorHAnsi" w:hAnsiTheme="majorHAnsi" w:cstheme="majorHAnsi"/>
          <w:b/>
          <w:bCs/>
          <w:sz w:val="24"/>
          <w:szCs w:val="24"/>
        </w:rPr>
      </w:pPr>
      <w:r w:rsidRPr="002E75D4">
        <w:rPr>
          <w:rFonts w:asciiTheme="majorHAnsi" w:hAnsiTheme="majorHAnsi" w:cstheme="majorHAnsi"/>
          <w:b/>
          <w:bCs/>
          <w:sz w:val="24"/>
          <w:szCs w:val="24"/>
        </w:rPr>
        <w:t xml:space="preserve">Etat des lieux concernant les MRV au Mali </w:t>
      </w:r>
    </w:p>
    <w:p w14:paraId="6D34E8F7" w14:textId="77777777" w:rsidR="00C03EC4" w:rsidRPr="002E75D4" w:rsidRDefault="00C03EC4" w:rsidP="00C03EC4">
      <w:pPr>
        <w:spacing w:before="100" w:beforeAutospacing="1" w:after="100" w:afterAutospacing="1"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Mali ne dispose pas formellement de système MRV.  En effet, la collecte et l’archivage des données ainsi que la planification des activités au niveau des différents secteurs au Mali sont assurés par l’INSTAT à travers les cellules de planification et de statistique (CPS). Ces dernières assurent la mission de planification et d’informations statistiques en rapport avec les services techniques concernés et les transmettent à l’INSAT qui en assure la centralisation. Par ailleurs, un maillon important de ce dispositif de référence pour le système MRV Climat au Mali est le Système National de Gestion de l’Information Environnementale (SNGIE) qui dépend de l’Agence de l’Environnement et du Développement Durable (AEDD) du Ministère de l’Environnement de l’Assainissement et du Développement durable (MEADD). </w:t>
      </w:r>
    </w:p>
    <w:p w14:paraId="21DA37C7" w14:textId="77777777" w:rsidR="00C03EC4" w:rsidRPr="005F51BC" w:rsidRDefault="00C03EC4" w:rsidP="00C03EC4">
      <w:pPr>
        <w:spacing w:before="100" w:beforeAutospacing="1"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SNGIE, de par ses missions, constitue un outil sur lequel le MRV climat au Mali pourrait s’arrimer. En effet, le SNGIE est chargé d’identifier, de centraliser, de traiter et de diffuser l’ensemble des données et informations environnementales (y compris celles qui sont climatiques) sur toute l’étendue du territoire malien. Pour ce faire, il met en réseau les services techniques fournisseurs de données sur l’environnement et entretien l’espace de dialogue entre ceux-ci et les utilisateurs de l’information environnementale. </w:t>
      </w:r>
    </w:p>
    <w:p w14:paraId="4B9AA46F" w14:textId="77777777" w:rsidR="00C03EC4" w:rsidRPr="002E75D4" w:rsidRDefault="00C03EC4" w:rsidP="00C03EC4">
      <w:pPr>
        <w:widowControl w:val="0"/>
        <w:overflowPunct w:val="0"/>
        <w:adjustRightInd w:val="0"/>
        <w:spacing w:before="120" w:after="240" w:line="360" w:lineRule="auto"/>
        <w:jc w:val="both"/>
        <w:rPr>
          <w:rFonts w:asciiTheme="majorHAnsi" w:hAnsiTheme="majorHAnsi" w:cstheme="majorHAnsi"/>
          <w:b/>
          <w:bCs/>
          <w:sz w:val="24"/>
          <w:szCs w:val="24"/>
        </w:rPr>
      </w:pPr>
      <w:r w:rsidRPr="002E75D4">
        <w:rPr>
          <w:rFonts w:asciiTheme="majorHAnsi" w:hAnsiTheme="majorHAnsi" w:cstheme="majorHAnsi"/>
          <w:b/>
          <w:bCs/>
          <w:sz w:val="24"/>
          <w:szCs w:val="24"/>
        </w:rPr>
        <w:t>Développement d’un système MRV au Mali </w:t>
      </w:r>
    </w:p>
    <w:p w14:paraId="06A319AF" w14:textId="77777777" w:rsidR="00C03EC4" w:rsidRPr="002E75D4" w:rsidRDefault="00C03EC4" w:rsidP="00C03EC4">
      <w:pPr>
        <w:widowControl w:val="0"/>
        <w:overflowPunct w:val="0"/>
        <w:adjustRightInd w:val="0"/>
        <w:spacing w:before="120" w:after="24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L'élaboration et la mise en place d'un système national de MRV représentent un sérieux défi pour les pays hors annexe I, car il s'agit d'une responsabilité nouvelle et supplémentaire dans le cadre de la préparation des BUR et des Communications Nationales. Le Mali dispose de certaines initiatives et capacités existantes dans son système de suivi et d'évaluation actuel qui peuvent servir de base au développement du système MRV national après les améliorations appropriées. </w:t>
      </w:r>
    </w:p>
    <w:p w14:paraId="3A1CFC82" w14:textId="77777777" w:rsidR="00C03EC4" w:rsidRPr="002E75D4" w:rsidRDefault="00C03EC4" w:rsidP="00C03EC4">
      <w:pPr>
        <w:widowControl w:val="0"/>
        <w:overflowPunct w:val="0"/>
        <w:adjustRightInd w:val="0"/>
        <w:spacing w:line="240" w:lineRule="auto"/>
        <w:jc w:val="both"/>
        <w:rPr>
          <w:rFonts w:asciiTheme="majorHAnsi" w:hAnsiTheme="majorHAnsi" w:cstheme="majorHAnsi"/>
          <w:b/>
          <w:bCs/>
          <w:sz w:val="24"/>
          <w:szCs w:val="24"/>
        </w:rPr>
      </w:pPr>
      <w:r w:rsidRPr="002E75D4">
        <w:rPr>
          <w:rFonts w:asciiTheme="majorHAnsi" w:hAnsiTheme="majorHAnsi" w:cstheme="majorHAnsi"/>
          <w:b/>
          <w:bCs/>
          <w:sz w:val="24"/>
          <w:szCs w:val="24"/>
        </w:rPr>
        <w:t>Cadre institutionnel proposé, système MRV des émissions et des mesures</w:t>
      </w:r>
    </w:p>
    <w:p w14:paraId="050FC7F8" w14:textId="77777777" w:rsidR="00C03EC4" w:rsidRPr="002E75D4" w:rsidRDefault="00C03EC4" w:rsidP="00C03EC4">
      <w:pPr>
        <w:tabs>
          <w:tab w:val="left" w:pos="8931"/>
        </w:tabs>
        <w:spacing w:before="12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système MRV reflète la situation nationale du Mali, le cadre juridique sous-jacent s'étendant sur différents niveaux d'administration/gouvernement. Il contient des éléments obligatoires et volontaires. Le Ministère de l'environnement, de l’assainissement et du développement durable est le superviseur général du système national de MRV en collaboration avec les différentes parties prenantes. L’Agence de l’environnement et du Développement Durable est l'entité centrale chargée de coordonner et de superviser les dispositions institutionnelles par le biais de son département Information Environnementale, qui supervisent eux-mêmes les activités plus détaillées des groupes de travail. Ces derniers seront composés de représentants de divers ministères, du secteur privé, d'organisations de la société civile, d'organisations éducatives et de recherche, selon la spécificité des activités. </w:t>
      </w:r>
    </w:p>
    <w:p w14:paraId="4977262C" w14:textId="77777777" w:rsidR="00C03EC4" w:rsidRPr="002E75D4" w:rsidRDefault="00C03EC4" w:rsidP="00C03EC4">
      <w:pPr>
        <w:jc w:val="both"/>
        <w:rPr>
          <w:rFonts w:asciiTheme="majorHAnsi" w:hAnsiTheme="majorHAnsi" w:cstheme="majorHAnsi"/>
          <w:bCs/>
          <w:sz w:val="24"/>
          <w:szCs w:val="24"/>
        </w:rPr>
      </w:pPr>
      <w:r w:rsidRPr="002E75D4">
        <w:rPr>
          <w:rFonts w:asciiTheme="majorHAnsi" w:hAnsiTheme="majorHAnsi" w:cstheme="majorHAnsi"/>
          <w:bCs/>
          <w:sz w:val="24"/>
          <w:szCs w:val="24"/>
        </w:rPr>
        <w:t>Analyse des différentes parties du système MRV des émissions et des mesures</w:t>
      </w:r>
    </w:p>
    <w:p w14:paraId="7B003ED9" w14:textId="77777777" w:rsidR="00C03EC4" w:rsidRPr="00B13E5A" w:rsidRDefault="00C03EC4" w:rsidP="00C03EC4">
      <w:pPr>
        <w:pStyle w:val="Paragraphedeliste"/>
        <w:numPr>
          <w:ilvl w:val="0"/>
          <w:numId w:val="71"/>
        </w:numPr>
        <w:spacing w:after="160"/>
        <w:jc w:val="both"/>
        <w:rPr>
          <w:rFonts w:asciiTheme="majorHAnsi" w:hAnsiTheme="majorHAnsi" w:cstheme="majorHAnsi"/>
          <w:b/>
          <w:bCs/>
          <w:sz w:val="24"/>
          <w:szCs w:val="24"/>
        </w:rPr>
      </w:pPr>
      <w:r w:rsidRPr="00B13E5A">
        <w:rPr>
          <w:rFonts w:asciiTheme="majorHAnsi" w:hAnsiTheme="majorHAnsi" w:cstheme="majorHAnsi"/>
          <w:b/>
          <w:bCs/>
          <w:sz w:val="24"/>
          <w:szCs w:val="24"/>
        </w:rPr>
        <w:t>Mesures</w:t>
      </w:r>
    </w:p>
    <w:p w14:paraId="5377F501" w14:textId="77777777" w:rsidR="00C03EC4" w:rsidRPr="002E75D4" w:rsidRDefault="00C03EC4" w:rsidP="00C03EC4">
      <w:pPr>
        <w:jc w:val="both"/>
        <w:rPr>
          <w:rFonts w:asciiTheme="majorHAnsi" w:hAnsiTheme="majorHAnsi" w:cstheme="majorHAnsi"/>
          <w:b/>
          <w:sz w:val="24"/>
          <w:szCs w:val="24"/>
        </w:rPr>
      </w:pPr>
      <w:r w:rsidRPr="002E75D4">
        <w:rPr>
          <w:rFonts w:asciiTheme="majorHAnsi" w:hAnsiTheme="majorHAnsi" w:cstheme="majorHAnsi"/>
          <w:b/>
          <w:sz w:val="24"/>
          <w:szCs w:val="24"/>
        </w:rPr>
        <w:t>Les mesures des émissions de GES seront effectuées comme suit :</w:t>
      </w:r>
    </w:p>
    <w:p w14:paraId="3BFF100A" w14:textId="77777777" w:rsidR="00C03EC4" w:rsidRPr="00B13E5A" w:rsidRDefault="00C03EC4" w:rsidP="00C03EC4">
      <w:pPr>
        <w:pStyle w:val="Paragraphedeliste"/>
        <w:numPr>
          <w:ilvl w:val="0"/>
          <w:numId w:val="72"/>
        </w:numPr>
        <w:spacing w:after="160"/>
        <w:jc w:val="both"/>
        <w:rPr>
          <w:rFonts w:asciiTheme="majorHAnsi" w:hAnsiTheme="majorHAnsi" w:cstheme="majorHAnsi"/>
          <w:sz w:val="24"/>
          <w:szCs w:val="24"/>
        </w:rPr>
      </w:pPr>
      <w:r w:rsidRPr="00B13E5A">
        <w:rPr>
          <w:rFonts w:asciiTheme="majorHAnsi" w:hAnsiTheme="majorHAnsi" w:cstheme="majorHAnsi"/>
          <w:bCs/>
          <w:sz w:val="24"/>
          <w:szCs w:val="24"/>
        </w:rPr>
        <w:t>Collecte des données :</w:t>
      </w:r>
      <w:r w:rsidRPr="00B13E5A">
        <w:rPr>
          <w:rFonts w:asciiTheme="majorHAnsi" w:hAnsiTheme="majorHAnsi" w:cstheme="majorHAnsi"/>
          <w:sz w:val="24"/>
          <w:szCs w:val="24"/>
        </w:rPr>
        <w:t xml:space="preserve"> les données sont collectées auprès des services concernées par des points focaux désignés et membre des groupes de travail.  Les bases de données existantes sont les premières sources. Il s’agit du système d’information forestier (SIFOR), le système d’information énergétique (SIE), les bases de données de l’INSAT et du secrétariat à l’harmonisation de l’aide (SHA). Les premiers contrôles de la qualité des données sont effectués à ce niveau par les directions des services concernées avant d’envoyer à l’équipe de coordination. Un second contrôle est assuré par l’équipe de coordination du projet.</w:t>
      </w:r>
    </w:p>
    <w:p w14:paraId="43171FF5" w14:textId="77777777" w:rsidR="00C03EC4" w:rsidRPr="00B13E5A" w:rsidRDefault="00C03EC4" w:rsidP="00C03EC4">
      <w:pPr>
        <w:jc w:val="both"/>
        <w:rPr>
          <w:rFonts w:asciiTheme="majorHAnsi" w:hAnsiTheme="majorHAnsi" w:cstheme="majorHAnsi"/>
          <w:sz w:val="24"/>
          <w:szCs w:val="24"/>
        </w:rPr>
      </w:pPr>
      <w:r w:rsidRPr="00B13E5A">
        <w:rPr>
          <w:rFonts w:asciiTheme="majorHAnsi" w:hAnsiTheme="majorHAnsi" w:cstheme="majorHAnsi"/>
          <w:sz w:val="24"/>
          <w:szCs w:val="24"/>
        </w:rPr>
        <w:t>Pour assurer la pérennité de la collecte des données, un protocole d’accord de collecte et de partage de données nécessaire pour les estimations d’émission a été signé entre l’AEDD et les structures sectorielles</w:t>
      </w:r>
    </w:p>
    <w:p w14:paraId="6931C90D" w14:textId="77777777" w:rsidR="00C03EC4" w:rsidRDefault="00C03EC4" w:rsidP="00C03EC4">
      <w:pPr>
        <w:pStyle w:val="Paragraphedeliste"/>
        <w:numPr>
          <w:ilvl w:val="0"/>
          <w:numId w:val="72"/>
        </w:numPr>
        <w:jc w:val="both"/>
        <w:rPr>
          <w:rFonts w:asciiTheme="majorHAnsi" w:hAnsiTheme="majorHAnsi" w:cstheme="majorHAnsi"/>
          <w:sz w:val="24"/>
          <w:szCs w:val="24"/>
        </w:rPr>
      </w:pPr>
      <w:r w:rsidRPr="00B13E5A">
        <w:rPr>
          <w:rFonts w:asciiTheme="majorHAnsi" w:hAnsiTheme="majorHAnsi" w:cstheme="majorHAnsi"/>
          <w:sz w:val="24"/>
          <w:szCs w:val="24"/>
        </w:rPr>
        <w:t>Estimation des émissions : le calcul des émissions de GES, l’analyse des incertitudes et des catégories clés sont effectués par les points focaux membres des groupes de travail.  Ils sont souvent assi</w:t>
      </w:r>
      <w:r>
        <w:rPr>
          <w:rFonts w:asciiTheme="majorHAnsi" w:hAnsiTheme="majorHAnsi" w:cstheme="majorHAnsi"/>
          <w:sz w:val="24"/>
          <w:szCs w:val="24"/>
        </w:rPr>
        <w:t>stés par des experts nationaux ;</w:t>
      </w:r>
    </w:p>
    <w:p w14:paraId="35FAE9C4" w14:textId="77777777" w:rsidR="00C03EC4" w:rsidRDefault="00C03EC4" w:rsidP="00C03EC4">
      <w:pPr>
        <w:pStyle w:val="Paragraphedeliste"/>
        <w:numPr>
          <w:ilvl w:val="0"/>
          <w:numId w:val="72"/>
        </w:numPr>
        <w:jc w:val="both"/>
        <w:rPr>
          <w:rFonts w:asciiTheme="majorHAnsi" w:hAnsiTheme="majorHAnsi" w:cstheme="majorHAnsi"/>
          <w:sz w:val="24"/>
          <w:szCs w:val="24"/>
        </w:rPr>
      </w:pPr>
      <w:r w:rsidRPr="00B13E5A">
        <w:rPr>
          <w:rFonts w:asciiTheme="majorHAnsi" w:hAnsiTheme="majorHAnsi" w:cstheme="majorHAnsi"/>
          <w:bCs/>
          <w:sz w:val="24"/>
          <w:szCs w:val="24"/>
        </w:rPr>
        <w:t>Interprétation des résultats</w:t>
      </w:r>
      <w:r w:rsidRPr="00B13E5A">
        <w:rPr>
          <w:rFonts w:asciiTheme="majorHAnsi" w:hAnsiTheme="majorHAnsi" w:cstheme="majorHAnsi"/>
          <w:sz w:val="24"/>
          <w:szCs w:val="24"/>
        </w:rPr>
        <w:t> : les résultats des estimations sont interprétés et validés par les groupes de travail eux-mêmes. Un troisième contrôle est effectué à ce niveau par l’équipe de coordination du projet. L’équipe vérifie les calculs des émissions ainsi que les</w:t>
      </w:r>
      <w:r>
        <w:rPr>
          <w:rFonts w:asciiTheme="majorHAnsi" w:hAnsiTheme="majorHAnsi" w:cstheme="majorHAnsi"/>
          <w:sz w:val="24"/>
          <w:szCs w:val="24"/>
        </w:rPr>
        <w:t xml:space="preserve"> interprétations des résultats ;</w:t>
      </w:r>
    </w:p>
    <w:p w14:paraId="75E6C936" w14:textId="77777777" w:rsidR="00C03EC4" w:rsidRDefault="00C03EC4" w:rsidP="00C03EC4">
      <w:pPr>
        <w:pStyle w:val="Paragraphedeliste"/>
        <w:numPr>
          <w:ilvl w:val="0"/>
          <w:numId w:val="72"/>
        </w:numPr>
        <w:jc w:val="both"/>
        <w:rPr>
          <w:rFonts w:asciiTheme="majorHAnsi" w:hAnsiTheme="majorHAnsi" w:cstheme="majorHAnsi"/>
          <w:sz w:val="24"/>
          <w:szCs w:val="24"/>
        </w:rPr>
      </w:pPr>
      <w:r w:rsidRPr="00B13E5A">
        <w:rPr>
          <w:rFonts w:asciiTheme="majorHAnsi" w:hAnsiTheme="majorHAnsi" w:cstheme="majorHAnsi"/>
          <w:bCs/>
          <w:sz w:val="24"/>
          <w:szCs w:val="24"/>
        </w:rPr>
        <w:t>Assurance qualité</w:t>
      </w:r>
      <w:r w:rsidRPr="00B13E5A">
        <w:rPr>
          <w:rFonts w:asciiTheme="majorHAnsi" w:hAnsiTheme="majorHAnsi" w:cstheme="majorHAnsi"/>
          <w:sz w:val="24"/>
          <w:szCs w:val="24"/>
        </w:rPr>
        <w:t> : le recalcule des estimations des émissions de GES vise à donner une assurance qualité. Il est effectué par le comité scientifique. Le comité scientifique est un regroupement d’universitaires et chercheurs spéci</w:t>
      </w:r>
      <w:r>
        <w:rPr>
          <w:rFonts w:asciiTheme="majorHAnsi" w:hAnsiTheme="majorHAnsi" w:cstheme="majorHAnsi"/>
          <w:sz w:val="24"/>
          <w:szCs w:val="24"/>
        </w:rPr>
        <w:t>alisé dans diffèrent domaines ;</w:t>
      </w:r>
    </w:p>
    <w:p w14:paraId="31C2019F" w14:textId="77777777" w:rsidR="00C03EC4" w:rsidRPr="00B13E5A" w:rsidRDefault="00C03EC4" w:rsidP="00C03EC4">
      <w:pPr>
        <w:pStyle w:val="Paragraphedeliste"/>
        <w:numPr>
          <w:ilvl w:val="0"/>
          <w:numId w:val="72"/>
        </w:numPr>
        <w:jc w:val="both"/>
        <w:rPr>
          <w:rFonts w:asciiTheme="majorHAnsi" w:hAnsiTheme="majorHAnsi" w:cstheme="majorHAnsi"/>
          <w:sz w:val="24"/>
          <w:szCs w:val="24"/>
        </w:rPr>
      </w:pPr>
      <w:r w:rsidRPr="00B13E5A">
        <w:rPr>
          <w:rFonts w:asciiTheme="majorHAnsi" w:hAnsiTheme="majorHAnsi" w:cstheme="majorHAnsi"/>
          <w:bCs/>
          <w:sz w:val="24"/>
          <w:szCs w:val="24"/>
        </w:rPr>
        <w:t>Suivi des indicateurs</w:t>
      </w:r>
      <w:r w:rsidRPr="00B13E5A">
        <w:rPr>
          <w:rFonts w:asciiTheme="majorHAnsi" w:hAnsiTheme="majorHAnsi" w:cstheme="majorHAnsi"/>
          <w:sz w:val="24"/>
          <w:szCs w:val="24"/>
        </w:rPr>
        <w:t xml:space="preserve"> : il sera animé par un groupe spécifique qui sera chargé de définir et de proposer des indicateurs appropriés, pertinents, mesurables et nécessaires pour la mesure d’impacts des actions d’atténuation, d’adaptation et de développement. Il devra aussi collecter et analyser les données sur la progression des niveaux de référence et suivre les émissions évitées par les différents projets d’atténuation, d’adaptation et de développement. Un registre des indicateurs nationaux devrait être établi au niveau du (SNGIE) et sera régulièrement mis à jour.</w:t>
      </w:r>
    </w:p>
    <w:p w14:paraId="7AC504E7" w14:textId="77777777" w:rsidR="00C03EC4" w:rsidRPr="002E75D4" w:rsidRDefault="00C03EC4" w:rsidP="00C03EC4">
      <w:pPr>
        <w:pStyle w:val="Paragraphedeliste"/>
        <w:spacing w:after="160" w:line="240" w:lineRule="auto"/>
        <w:jc w:val="both"/>
        <w:rPr>
          <w:rFonts w:asciiTheme="majorHAnsi" w:hAnsiTheme="majorHAnsi" w:cstheme="majorHAnsi"/>
          <w:sz w:val="24"/>
          <w:szCs w:val="24"/>
        </w:rPr>
      </w:pPr>
    </w:p>
    <w:p w14:paraId="735A1171" w14:textId="77777777" w:rsidR="00C03EC4" w:rsidRPr="00B13E5A" w:rsidRDefault="00C03EC4" w:rsidP="00C03EC4">
      <w:pPr>
        <w:pStyle w:val="Paragraphedeliste"/>
        <w:numPr>
          <w:ilvl w:val="0"/>
          <w:numId w:val="71"/>
        </w:numPr>
        <w:spacing w:after="160" w:line="240" w:lineRule="auto"/>
        <w:jc w:val="both"/>
        <w:rPr>
          <w:rFonts w:asciiTheme="majorHAnsi" w:hAnsiTheme="majorHAnsi" w:cstheme="majorHAnsi"/>
          <w:b/>
          <w:bCs/>
          <w:sz w:val="24"/>
          <w:szCs w:val="24"/>
        </w:rPr>
      </w:pPr>
      <w:r w:rsidRPr="00B13E5A">
        <w:rPr>
          <w:rFonts w:asciiTheme="majorHAnsi" w:hAnsiTheme="majorHAnsi" w:cstheme="majorHAnsi"/>
          <w:b/>
          <w:bCs/>
          <w:sz w:val="24"/>
          <w:szCs w:val="24"/>
        </w:rPr>
        <w:t xml:space="preserve">Rapportage </w:t>
      </w:r>
    </w:p>
    <w:p w14:paraId="615C223F" w14:textId="77777777" w:rsidR="00C03EC4" w:rsidRPr="002E75D4" w:rsidRDefault="00C03EC4" w:rsidP="00C03EC4">
      <w:pPr>
        <w:pStyle w:val="Paragraphedeliste"/>
        <w:spacing w:after="16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Le rapportage concerne la publication des données traitées et interprétées et leur mise à disposition des décideurs nationaux et/ou des partenaires internationaux sur la problématique du climat. </w:t>
      </w:r>
    </w:p>
    <w:p w14:paraId="269AB104" w14:textId="77777777" w:rsidR="00C03EC4" w:rsidRPr="002E75D4" w:rsidRDefault="00C03EC4" w:rsidP="00C03EC4">
      <w:pPr>
        <w:pStyle w:val="Paragraphedeliste"/>
        <w:spacing w:after="160" w:line="240" w:lineRule="auto"/>
        <w:jc w:val="both"/>
        <w:rPr>
          <w:rFonts w:asciiTheme="majorHAnsi" w:hAnsiTheme="majorHAnsi" w:cstheme="majorHAnsi"/>
          <w:sz w:val="24"/>
          <w:szCs w:val="24"/>
        </w:rPr>
      </w:pPr>
      <w:r w:rsidRPr="002E75D4">
        <w:rPr>
          <w:rFonts w:asciiTheme="majorHAnsi" w:hAnsiTheme="majorHAnsi" w:cstheme="majorHAnsi"/>
          <w:sz w:val="24"/>
          <w:szCs w:val="24"/>
        </w:rPr>
        <w:t>Ce rapportage se fera sous forme de rapports techniques (par exemple les inventaires, les résultats d’atténuation projet par projet, etc.), le rapport sur l’Etat de l’Environnement à publier à une fréquence biannuelle. Cela permettra d’aider à la prise de décisions en matière de planification d’un développement sobre en carbone et résilient au climat.</w:t>
      </w:r>
    </w:p>
    <w:p w14:paraId="1785B009" w14:textId="77777777" w:rsidR="00C03EC4" w:rsidRPr="002E75D4" w:rsidRDefault="00C03EC4" w:rsidP="00C03EC4">
      <w:pPr>
        <w:pStyle w:val="Paragraphedeliste"/>
        <w:spacing w:after="160" w:line="240" w:lineRule="auto"/>
        <w:jc w:val="both"/>
        <w:rPr>
          <w:rFonts w:asciiTheme="majorHAnsi" w:hAnsiTheme="majorHAnsi" w:cstheme="majorHAnsi"/>
          <w:sz w:val="24"/>
          <w:szCs w:val="24"/>
        </w:rPr>
      </w:pPr>
    </w:p>
    <w:p w14:paraId="7EBF0AFA" w14:textId="77777777" w:rsidR="00C03EC4" w:rsidRPr="00B13E5A" w:rsidRDefault="00C03EC4" w:rsidP="00C03EC4">
      <w:pPr>
        <w:pStyle w:val="Paragraphedeliste"/>
        <w:numPr>
          <w:ilvl w:val="0"/>
          <w:numId w:val="71"/>
        </w:numPr>
        <w:spacing w:after="160" w:line="240" w:lineRule="auto"/>
        <w:jc w:val="both"/>
        <w:rPr>
          <w:rFonts w:asciiTheme="majorHAnsi" w:hAnsiTheme="majorHAnsi" w:cstheme="majorHAnsi"/>
          <w:b/>
          <w:bCs/>
          <w:sz w:val="24"/>
          <w:szCs w:val="24"/>
        </w:rPr>
      </w:pPr>
      <w:r w:rsidRPr="00B13E5A">
        <w:rPr>
          <w:rFonts w:asciiTheme="majorHAnsi" w:hAnsiTheme="majorHAnsi" w:cstheme="majorHAnsi"/>
          <w:b/>
          <w:bCs/>
          <w:sz w:val="24"/>
          <w:szCs w:val="24"/>
        </w:rPr>
        <w:t>Vérification :</w:t>
      </w:r>
    </w:p>
    <w:p w14:paraId="0215247E" w14:textId="77777777" w:rsidR="00C03EC4" w:rsidRPr="002E75D4" w:rsidRDefault="00C03EC4" w:rsidP="00C03EC4">
      <w:pPr>
        <w:spacing w:line="240" w:lineRule="auto"/>
        <w:ind w:left="360"/>
        <w:jc w:val="both"/>
        <w:rPr>
          <w:rFonts w:asciiTheme="majorHAnsi" w:hAnsiTheme="majorHAnsi" w:cstheme="majorHAnsi"/>
          <w:sz w:val="24"/>
          <w:szCs w:val="24"/>
        </w:rPr>
      </w:pPr>
      <w:r w:rsidRPr="002E75D4">
        <w:rPr>
          <w:rFonts w:asciiTheme="majorHAnsi" w:hAnsiTheme="majorHAnsi" w:cstheme="majorHAnsi"/>
          <w:sz w:val="24"/>
          <w:szCs w:val="24"/>
        </w:rPr>
        <w:t xml:space="preserve">Elle est conduite au niveau international à travers l’ICA des rapports biennaux, qui est un processus visant à augmenter la transparence des actions d'atténuation et leurs effets, et les soutiens reçus et nécessaires. Les communications nationales ne sont pas assujetties à l'ICA. </w:t>
      </w:r>
    </w:p>
    <w:p w14:paraId="00259912" w14:textId="77777777" w:rsidR="00C03EC4" w:rsidRPr="002E75D4" w:rsidRDefault="00C03EC4" w:rsidP="00C03EC4">
      <w:pPr>
        <w:spacing w:line="240" w:lineRule="auto"/>
        <w:ind w:left="360"/>
        <w:jc w:val="both"/>
        <w:rPr>
          <w:rFonts w:asciiTheme="majorHAnsi" w:hAnsiTheme="majorHAnsi" w:cstheme="majorHAnsi"/>
          <w:sz w:val="24"/>
          <w:szCs w:val="24"/>
        </w:rPr>
      </w:pPr>
      <w:r w:rsidRPr="002E75D4">
        <w:rPr>
          <w:rFonts w:asciiTheme="majorHAnsi" w:hAnsiTheme="majorHAnsi" w:cstheme="majorHAnsi"/>
          <w:sz w:val="24"/>
          <w:szCs w:val="24"/>
        </w:rPr>
        <w:t>Au niveau national, la vérification est mise en œuvre par le biais de mécanismes MRV nationaux établis par des parties non visées à l'annexe I, dont les lignes directrices générales ont été adoptées à la COP 19 en 2013. Afin d’améliorer la transparence et assurer la durabilité du processus de vérification des émissions, des procédures pour assurer une documentation et un archivage régulier et systématique seront établies. La base de données SNGIE servira à cet effet.</w:t>
      </w:r>
    </w:p>
    <w:p w14:paraId="3D6DE9DC"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 xml:space="preserve"> </w:t>
      </w:r>
    </w:p>
    <w:p w14:paraId="3CB16EBD" w14:textId="77777777" w:rsidR="00C03EC4" w:rsidRPr="00B13E5A" w:rsidRDefault="00C03EC4" w:rsidP="00C03EC4">
      <w:pPr>
        <w:tabs>
          <w:tab w:val="left" w:pos="7938"/>
        </w:tabs>
        <w:spacing w:before="40"/>
        <w:ind w:right="1842"/>
        <w:rPr>
          <w:rFonts w:asciiTheme="majorHAnsi" w:hAnsiTheme="majorHAnsi" w:cstheme="majorHAnsi"/>
          <w:b/>
          <w:sz w:val="32"/>
          <w:szCs w:val="34"/>
        </w:rPr>
      </w:pPr>
      <w:r w:rsidRPr="00B13E5A">
        <w:rPr>
          <w:rFonts w:asciiTheme="majorHAnsi" w:hAnsiTheme="majorHAnsi" w:cstheme="majorHAnsi"/>
          <w:b/>
          <w:sz w:val="32"/>
          <w:szCs w:val="34"/>
        </w:rPr>
        <w:t>6.6 INDICATEURS DE LA CDN ET ALIGNEMENT SUR LES ODD</w:t>
      </w:r>
    </w:p>
    <w:p w14:paraId="7DF21FB9" w14:textId="77777777" w:rsidR="00C03EC4" w:rsidRPr="002E75D4" w:rsidRDefault="00C03EC4" w:rsidP="00C03EC4">
      <w:pPr>
        <w:ind w:right="-284"/>
        <w:jc w:val="both"/>
        <w:rPr>
          <w:rFonts w:asciiTheme="majorHAnsi" w:hAnsiTheme="majorHAnsi" w:cstheme="majorHAnsi"/>
          <w:bCs/>
          <w:sz w:val="24"/>
          <w:szCs w:val="24"/>
        </w:rPr>
      </w:pPr>
      <w:r w:rsidRPr="002E75D4">
        <w:rPr>
          <w:rFonts w:asciiTheme="majorHAnsi" w:hAnsiTheme="majorHAnsi" w:cstheme="majorHAnsi"/>
          <w:bCs/>
          <w:sz w:val="24"/>
          <w:szCs w:val="24"/>
        </w:rPr>
        <w:t>Le SNGIE et les changements climatiques</w:t>
      </w:r>
    </w:p>
    <w:p w14:paraId="4CB7FEF5" w14:textId="77777777" w:rsidR="00C03EC4" w:rsidRPr="002E75D4" w:rsidRDefault="00C03EC4" w:rsidP="00C03EC4">
      <w:pPr>
        <w:spacing w:line="240" w:lineRule="auto"/>
        <w:ind w:right="-284"/>
        <w:jc w:val="both"/>
        <w:rPr>
          <w:rFonts w:asciiTheme="majorHAnsi" w:hAnsiTheme="majorHAnsi" w:cstheme="majorHAnsi"/>
          <w:sz w:val="24"/>
          <w:szCs w:val="24"/>
        </w:rPr>
      </w:pPr>
      <w:r w:rsidRPr="002E75D4">
        <w:rPr>
          <w:rFonts w:asciiTheme="majorHAnsi" w:hAnsiTheme="majorHAnsi" w:cstheme="majorHAnsi"/>
          <w:sz w:val="24"/>
          <w:szCs w:val="24"/>
        </w:rPr>
        <w:t xml:space="preserve">Le SNGIE donne la possibilité à l’AEDD et ses partenaires de renseigner des données et les indicateurs dont ils sont responsables. L’architecture du SNGIE offre un cadre de partage sécurisé des données et d’analyse tout en permettant une diffusion d’information au citoyen non spécialiste. Les outils de visualisation offrent la possibilité de combiner des informations diverses dans une même vue d’ensemble. De plus le système est évolutif car il permet l’ajout de nouvelles thématiques et de nouveaux indicateurs. </w:t>
      </w:r>
    </w:p>
    <w:p w14:paraId="49BCD57E" w14:textId="77777777" w:rsidR="00C03EC4" w:rsidRPr="002E75D4" w:rsidRDefault="00C03EC4" w:rsidP="00C03EC4">
      <w:pPr>
        <w:spacing w:line="240" w:lineRule="auto"/>
        <w:ind w:right="-284"/>
        <w:jc w:val="both"/>
        <w:rPr>
          <w:rFonts w:asciiTheme="majorHAnsi" w:hAnsiTheme="majorHAnsi" w:cstheme="majorHAnsi"/>
          <w:sz w:val="24"/>
          <w:szCs w:val="24"/>
        </w:rPr>
      </w:pPr>
      <w:r w:rsidRPr="002E75D4">
        <w:rPr>
          <w:rFonts w:asciiTheme="majorHAnsi" w:hAnsiTheme="majorHAnsi" w:cstheme="majorHAnsi"/>
          <w:sz w:val="24"/>
          <w:szCs w:val="24"/>
        </w:rPr>
        <w:t>Huit secteurs sont traités par le SNGIE. Chacun d’eux aborde plusieurs thématiques environnementales et fournit des indicateurs. Le climat est un de ces secteurs mais il n’a pas encore été opérationnalisé.</w:t>
      </w:r>
    </w:p>
    <w:p w14:paraId="6C573077" w14:textId="77777777" w:rsidR="00C03EC4" w:rsidRDefault="00C03EC4" w:rsidP="00C03EC4">
      <w:pPr>
        <w:spacing w:after="0" w:line="240" w:lineRule="auto"/>
        <w:ind w:right="-284"/>
        <w:jc w:val="both"/>
        <w:rPr>
          <w:rFonts w:asciiTheme="majorHAnsi" w:hAnsiTheme="majorHAnsi" w:cstheme="majorHAnsi"/>
          <w:sz w:val="24"/>
          <w:szCs w:val="24"/>
        </w:rPr>
      </w:pPr>
      <w:r w:rsidRPr="002E75D4">
        <w:rPr>
          <w:rFonts w:asciiTheme="majorHAnsi" w:hAnsiTheme="majorHAnsi" w:cstheme="majorHAnsi"/>
          <w:sz w:val="24"/>
          <w:szCs w:val="24"/>
        </w:rPr>
        <w:t>Le choix des indicateurs du SNGIE (150 indicateurs), validés officiellement par les différents ministères concernés, est une base pour le choix des indicateurs de la CDN. Parmi ces indicateurs 27 ont été présélectionnés pour la CDN.</w:t>
      </w:r>
    </w:p>
    <w:p w14:paraId="67EB426F" w14:textId="77777777" w:rsidR="00C03EC4" w:rsidRPr="002E75D4" w:rsidRDefault="00C03EC4" w:rsidP="00C03EC4">
      <w:pPr>
        <w:spacing w:after="0" w:line="240" w:lineRule="auto"/>
        <w:ind w:right="-284"/>
        <w:jc w:val="both"/>
        <w:rPr>
          <w:rFonts w:asciiTheme="majorHAnsi" w:hAnsiTheme="majorHAnsi" w:cstheme="majorHAnsi"/>
          <w:sz w:val="24"/>
          <w:szCs w:val="24"/>
        </w:rPr>
      </w:pPr>
    </w:p>
    <w:p w14:paraId="47608A3E" w14:textId="77777777" w:rsidR="00C03EC4" w:rsidRPr="00CF609A" w:rsidRDefault="00C03EC4" w:rsidP="00C03EC4">
      <w:pPr>
        <w:ind w:right="-284"/>
        <w:jc w:val="both"/>
        <w:rPr>
          <w:rFonts w:cstheme="minorHAnsi"/>
          <w:b/>
          <w:bCs/>
          <w:sz w:val="24"/>
          <w:szCs w:val="24"/>
        </w:rPr>
      </w:pPr>
      <w:r w:rsidRPr="002E75D4">
        <w:rPr>
          <w:rFonts w:cstheme="minorHAnsi"/>
          <w:b/>
          <w:bCs/>
          <w:sz w:val="24"/>
          <w:szCs w:val="24"/>
        </w:rPr>
        <w:t>ODD concernés par la CDN</w:t>
      </w:r>
    </w:p>
    <w:tbl>
      <w:tblPr>
        <w:tblStyle w:val="Grillemoyenne3-Accent1"/>
        <w:tblW w:w="5000" w:type="pct"/>
        <w:tblLook w:val="04A0" w:firstRow="1" w:lastRow="0" w:firstColumn="1" w:lastColumn="0" w:noHBand="0" w:noVBand="1"/>
      </w:tblPr>
      <w:tblGrid>
        <w:gridCol w:w="937"/>
        <w:gridCol w:w="968"/>
        <w:gridCol w:w="7714"/>
      </w:tblGrid>
      <w:tr w:rsidR="00C03EC4" w:rsidRPr="00E41E0A" w14:paraId="704123E0" w14:textId="77777777" w:rsidTr="000D6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shd w:val="clear" w:color="auto" w:fill="BFBFBF" w:themeFill="background1" w:themeFillShade="BF"/>
          </w:tcPr>
          <w:p w14:paraId="5DA45845"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BFBFBF" w:themeFill="background1" w:themeFillShade="BF"/>
          </w:tcPr>
          <w:p w14:paraId="04DB308D" w14:textId="77777777" w:rsidR="00C03EC4" w:rsidRPr="00E41E0A" w:rsidRDefault="00C03EC4" w:rsidP="000D6136">
            <w:pPr>
              <w:spacing w:before="240"/>
              <w:ind w:right="-284"/>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rPr>
            </w:pPr>
            <w:r w:rsidRPr="00E41E0A">
              <w:rPr>
                <w:rFonts w:asciiTheme="majorHAnsi" w:hAnsiTheme="majorHAnsi" w:cstheme="majorHAnsi"/>
                <w:color w:val="auto"/>
                <w:sz w:val="20"/>
              </w:rPr>
              <w:t>N°.</w:t>
            </w:r>
          </w:p>
        </w:tc>
        <w:tc>
          <w:tcPr>
            <w:tcW w:w="4010" w:type="pct"/>
            <w:shd w:val="clear" w:color="auto" w:fill="BFBFBF" w:themeFill="background1" w:themeFillShade="BF"/>
          </w:tcPr>
          <w:p w14:paraId="67E250C2" w14:textId="77777777" w:rsidR="00C03EC4" w:rsidRPr="00E41E0A" w:rsidRDefault="00C03EC4" w:rsidP="000D6136">
            <w:pPr>
              <w:spacing w:before="240"/>
              <w:ind w:right="-284"/>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rPr>
            </w:pPr>
            <w:r w:rsidRPr="00E41E0A">
              <w:rPr>
                <w:rFonts w:asciiTheme="majorHAnsi" w:hAnsiTheme="majorHAnsi" w:cstheme="majorHAnsi"/>
                <w:color w:val="auto"/>
                <w:sz w:val="20"/>
              </w:rPr>
              <w:t>Libellé des Objectifs de Développement Durable (ODD)</w:t>
            </w:r>
          </w:p>
        </w:tc>
      </w:tr>
      <w:tr w:rsidR="00C03EC4" w:rsidRPr="00E41E0A" w14:paraId="3DCFEA70" w14:textId="77777777" w:rsidTr="000D6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shd w:val="clear" w:color="auto" w:fill="C00000"/>
          </w:tcPr>
          <w:p w14:paraId="0E0A3CD1"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C00000"/>
          </w:tcPr>
          <w:p w14:paraId="39CBDBE4" w14:textId="77777777" w:rsidR="00C03EC4" w:rsidRPr="00E41E0A" w:rsidRDefault="00C03EC4" w:rsidP="000D6136">
            <w:pPr>
              <w:spacing w:before="240"/>
              <w:ind w:right="-284"/>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1</w:t>
            </w:r>
          </w:p>
        </w:tc>
        <w:tc>
          <w:tcPr>
            <w:tcW w:w="4010" w:type="pct"/>
            <w:shd w:val="clear" w:color="auto" w:fill="FFDDDD"/>
          </w:tcPr>
          <w:p w14:paraId="5CBF9BFC" w14:textId="77777777" w:rsidR="00C03EC4" w:rsidRPr="00E41E0A" w:rsidRDefault="00C03EC4" w:rsidP="000D6136">
            <w:pPr>
              <w:spacing w:before="240"/>
              <w:ind w:right="-284"/>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Eliminer la pauvreté sous toutes ses formes et partout dans le monde</w:t>
            </w:r>
          </w:p>
        </w:tc>
      </w:tr>
      <w:tr w:rsidR="00C03EC4" w:rsidRPr="00E41E0A" w14:paraId="2AA2FEDA" w14:textId="77777777" w:rsidTr="000D6136">
        <w:tc>
          <w:tcPr>
            <w:cnfStyle w:val="001000000000" w:firstRow="0" w:lastRow="0" w:firstColumn="1" w:lastColumn="0" w:oddVBand="0" w:evenVBand="0" w:oddHBand="0" w:evenHBand="0" w:firstRowFirstColumn="0" w:firstRowLastColumn="0" w:lastRowFirstColumn="0" w:lastRowLastColumn="0"/>
            <w:tcW w:w="487" w:type="pct"/>
            <w:shd w:val="clear" w:color="auto" w:fill="BF8F00" w:themeFill="accent4" w:themeFillShade="BF"/>
          </w:tcPr>
          <w:p w14:paraId="6C61A6FF"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BF8F00" w:themeFill="accent4" w:themeFillShade="BF"/>
          </w:tcPr>
          <w:p w14:paraId="79507C72"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2</w:t>
            </w:r>
          </w:p>
        </w:tc>
        <w:tc>
          <w:tcPr>
            <w:tcW w:w="4010" w:type="pct"/>
            <w:shd w:val="clear" w:color="auto" w:fill="FFE599" w:themeFill="accent4" w:themeFillTint="66"/>
          </w:tcPr>
          <w:p w14:paraId="1FC30C57"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Eliminer la faim, assurer la sécurité alimentaire, améliorer la nutrition et</w:t>
            </w:r>
          </w:p>
          <w:p w14:paraId="18BD20E0"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promouvoir l’agriculture durable</w:t>
            </w:r>
          </w:p>
        </w:tc>
      </w:tr>
      <w:tr w:rsidR="00C03EC4" w:rsidRPr="00E41E0A" w14:paraId="6DA8C7B7" w14:textId="77777777" w:rsidTr="000D6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shd w:val="clear" w:color="auto" w:fill="00B050"/>
          </w:tcPr>
          <w:p w14:paraId="4A17C3FE"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00B050"/>
          </w:tcPr>
          <w:p w14:paraId="0CC6B61A" w14:textId="77777777" w:rsidR="00C03EC4" w:rsidRPr="00E41E0A" w:rsidRDefault="00C03EC4" w:rsidP="000D6136">
            <w:pPr>
              <w:spacing w:before="240"/>
              <w:ind w:right="-284"/>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3</w:t>
            </w:r>
          </w:p>
        </w:tc>
        <w:tc>
          <w:tcPr>
            <w:tcW w:w="4010" w:type="pct"/>
            <w:shd w:val="clear" w:color="auto" w:fill="A8D08D" w:themeFill="accent6" w:themeFillTint="99"/>
          </w:tcPr>
          <w:p w14:paraId="3E44BA38"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Permettre à tous de vivre en bonne santé et promouvoir le bien-être</w:t>
            </w:r>
          </w:p>
        </w:tc>
      </w:tr>
      <w:tr w:rsidR="00C03EC4" w:rsidRPr="00E41E0A" w14:paraId="46E8662F" w14:textId="77777777" w:rsidTr="000D6136">
        <w:tc>
          <w:tcPr>
            <w:cnfStyle w:val="001000000000" w:firstRow="0" w:lastRow="0" w:firstColumn="1" w:lastColumn="0" w:oddVBand="0" w:evenVBand="0" w:oddHBand="0" w:evenHBand="0" w:firstRowFirstColumn="0" w:firstRowLastColumn="0" w:lastRowFirstColumn="0" w:lastRowLastColumn="0"/>
            <w:tcW w:w="487" w:type="pct"/>
            <w:shd w:val="clear" w:color="auto" w:fill="880202"/>
          </w:tcPr>
          <w:p w14:paraId="7F029B5B"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880202"/>
          </w:tcPr>
          <w:p w14:paraId="220EF735"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4</w:t>
            </w:r>
          </w:p>
        </w:tc>
        <w:tc>
          <w:tcPr>
            <w:tcW w:w="4010" w:type="pct"/>
            <w:shd w:val="clear" w:color="auto" w:fill="FE9898"/>
          </w:tcPr>
          <w:p w14:paraId="332E7D8D"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Assurer à tous une éducation équitable, inclusive et de qualité et des</w:t>
            </w:r>
          </w:p>
          <w:p w14:paraId="19936723"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possibilités d’apprentissage tout au long de la vie</w:t>
            </w:r>
          </w:p>
        </w:tc>
      </w:tr>
      <w:tr w:rsidR="00C03EC4" w:rsidRPr="00E41E0A" w14:paraId="738C0EFA" w14:textId="77777777" w:rsidTr="000D6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shd w:val="clear" w:color="auto" w:fill="ED7D31" w:themeFill="accent2"/>
          </w:tcPr>
          <w:p w14:paraId="5CA4E2F4"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ED7D31" w:themeFill="accent2"/>
          </w:tcPr>
          <w:p w14:paraId="3CA3883A" w14:textId="77777777" w:rsidR="00C03EC4" w:rsidRPr="00E41E0A" w:rsidRDefault="00C03EC4" w:rsidP="000D6136">
            <w:pPr>
              <w:spacing w:before="240"/>
              <w:ind w:right="-284"/>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5</w:t>
            </w:r>
          </w:p>
        </w:tc>
        <w:tc>
          <w:tcPr>
            <w:tcW w:w="4010" w:type="pct"/>
            <w:shd w:val="clear" w:color="auto" w:fill="F7CAAC" w:themeFill="accent2" w:themeFillTint="66"/>
          </w:tcPr>
          <w:p w14:paraId="68ADEDE3"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Parvenir à l’égalité des sexes et autonomiser toutes les femmes et les filles</w:t>
            </w:r>
          </w:p>
        </w:tc>
      </w:tr>
      <w:tr w:rsidR="00C03EC4" w:rsidRPr="00E41E0A" w14:paraId="6964670E" w14:textId="77777777" w:rsidTr="000D6136">
        <w:tc>
          <w:tcPr>
            <w:cnfStyle w:val="001000000000" w:firstRow="0" w:lastRow="0" w:firstColumn="1" w:lastColumn="0" w:oddVBand="0" w:evenVBand="0" w:oddHBand="0" w:evenHBand="0" w:firstRowFirstColumn="0" w:firstRowLastColumn="0" w:lastRowFirstColumn="0" w:lastRowLastColumn="0"/>
            <w:tcW w:w="487" w:type="pct"/>
            <w:shd w:val="clear" w:color="auto" w:fill="00B0F0"/>
          </w:tcPr>
          <w:p w14:paraId="5F279424"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00B0F0"/>
          </w:tcPr>
          <w:p w14:paraId="0C6B04B8"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6</w:t>
            </w:r>
          </w:p>
        </w:tc>
        <w:tc>
          <w:tcPr>
            <w:tcW w:w="4010" w:type="pct"/>
            <w:shd w:val="clear" w:color="auto" w:fill="97E4FF"/>
          </w:tcPr>
          <w:p w14:paraId="00A0BFF1"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Garantir l’accès de tous à des services d’alimentation en eau et d’assainissement</w:t>
            </w:r>
          </w:p>
          <w:p w14:paraId="31F043C3"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gérés de façon durable</w:t>
            </w:r>
          </w:p>
        </w:tc>
      </w:tr>
      <w:tr w:rsidR="00C03EC4" w:rsidRPr="00E41E0A" w14:paraId="044DB89D" w14:textId="77777777" w:rsidTr="000D6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shd w:val="clear" w:color="auto" w:fill="FFC000" w:themeFill="accent4"/>
          </w:tcPr>
          <w:p w14:paraId="4BD279E9"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FFC000" w:themeFill="accent4"/>
          </w:tcPr>
          <w:p w14:paraId="649BBE80" w14:textId="77777777" w:rsidR="00C03EC4" w:rsidRPr="00E41E0A" w:rsidRDefault="00C03EC4" w:rsidP="000D6136">
            <w:pPr>
              <w:spacing w:before="240"/>
              <w:ind w:right="-284"/>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7</w:t>
            </w:r>
          </w:p>
        </w:tc>
        <w:tc>
          <w:tcPr>
            <w:tcW w:w="4010" w:type="pct"/>
            <w:shd w:val="clear" w:color="auto" w:fill="FFF2CC" w:themeFill="accent4" w:themeFillTint="33"/>
          </w:tcPr>
          <w:p w14:paraId="45E8330E"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Garantir l’accès de tous à des services énergétiques fiables, durables et modernes,</w:t>
            </w:r>
          </w:p>
          <w:p w14:paraId="77FB71E8"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à un coût abordable</w:t>
            </w:r>
          </w:p>
        </w:tc>
      </w:tr>
      <w:tr w:rsidR="00C03EC4" w:rsidRPr="00E41E0A" w14:paraId="7F88073B" w14:textId="77777777" w:rsidTr="000D6136">
        <w:trPr>
          <w:trHeight w:val="890"/>
        </w:trPr>
        <w:tc>
          <w:tcPr>
            <w:cnfStyle w:val="001000000000" w:firstRow="0" w:lastRow="0" w:firstColumn="1" w:lastColumn="0" w:oddVBand="0" w:evenVBand="0" w:oddHBand="0" w:evenHBand="0" w:firstRowFirstColumn="0" w:firstRowLastColumn="0" w:lastRowFirstColumn="0" w:lastRowLastColumn="0"/>
            <w:tcW w:w="487" w:type="pct"/>
            <w:shd w:val="clear" w:color="auto" w:fill="7030A0"/>
          </w:tcPr>
          <w:p w14:paraId="34AFFEBB"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7030A0"/>
          </w:tcPr>
          <w:p w14:paraId="5ECC1F67"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8</w:t>
            </w:r>
          </w:p>
        </w:tc>
        <w:tc>
          <w:tcPr>
            <w:tcW w:w="4010" w:type="pct"/>
            <w:shd w:val="clear" w:color="auto" w:fill="C39BE1"/>
          </w:tcPr>
          <w:p w14:paraId="57DD9998"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Promouvoir une croissance économique soutenue, partagée et durable,</w:t>
            </w:r>
          </w:p>
          <w:p w14:paraId="6B5A3AA0"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le plein emploi productif et un travail décent pour tous</w:t>
            </w:r>
          </w:p>
        </w:tc>
      </w:tr>
      <w:tr w:rsidR="00C03EC4" w:rsidRPr="00E41E0A" w14:paraId="5B3E3072" w14:textId="77777777" w:rsidTr="000D6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shd w:val="clear" w:color="auto" w:fill="323E4F" w:themeFill="text2" w:themeFillShade="BF"/>
          </w:tcPr>
          <w:p w14:paraId="208A4D0F"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323E4F" w:themeFill="text2" w:themeFillShade="BF"/>
          </w:tcPr>
          <w:p w14:paraId="74BAFE34" w14:textId="77777777" w:rsidR="00C03EC4" w:rsidRPr="00E41E0A" w:rsidRDefault="00C03EC4" w:rsidP="000D6136">
            <w:pPr>
              <w:spacing w:before="240"/>
              <w:ind w:right="-284"/>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9</w:t>
            </w:r>
          </w:p>
        </w:tc>
        <w:tc>
          <w:tcPr>
            <w:tcW w:w="4010" w:type="pct"/>
            <w:shd w:val="clear" w:color="auto" w:fill="D0CECE" w:themeFill="background2" w:themeFillShade="E6"/>
          </w:tcPr>
          <w:p w14:paraId="44B71537"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Bâtir une infrastructure résiliente, promouvoir une industrialisation durable</w:t>
            </w:r>
          </w:p>
          <w:p w14:paraId="3EB5B06E"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qui profite à tous et encourager l’innovation</w:t>
            </w:r>
          </w:p>
        </w:tc>
      </w:tr>
      <w:tr w:rsidR="00C03EC4" w:rsidRPr="00E41E0A" w14:paraId="235101E6" w14:textId="77777777" w:rsidTr="000D6136">
        <w:tc>
          <w:tcPr>
            <w:cnfStyle w:val="001000000000" w:firstRow="0" w:lastRow="0" w:firstColumn="1" w:lastColumn="0" w:oddVBand="0" w:evenVBand="0" w:oddHBand="0" w:evenHBand="0" w:firstRowFirstColumn="0" w:firstRowLastColumn="0" w:lastRowFirstColumn="0" w:lastRowLastColumn="0"/>
            <w:tcW w:w="487" w:type="pct"/>
            <w:shd w:val="clear" w:color="auto" w:fill="70AD47" w:themeFill="accent6"/>
          </w:tcPr>
          <w:p w14:paraId="7BD56000"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70AD47" w:themeFill="accent6"/>
          </w:tcPr>
          <w:p w14:paraId="43D0D0FE"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10</w:t>
            </w:r>
          </w:p>
        </w:tc>
        <w:tc>
          <w:tcPr>
            <w:tcW w:w="4010" w:type="pct"/>
            <w:shd w:val="clear" w:color="auto" w:fill="E2EFD9" w:themeFill="accent6" w:themeFillTint="33"/>
          </w:tcPr>
          <w:p w14:paraId="3CEE76D1"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Réduire les inégalités dans les pays et d’un pays à l’autre</w:t>
            </w:r>
          </w:p>
        </w:tc>
      </w:tr>
      <w:tr w:rsidR="00C03EC4" w:rsidRPr="00E41E0A" w14:paraId="47D47E48" w14:textId="77777777" w:rsidTr="000D6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shd w:val="clear" w:color="auto" w:fill="833C0B" w:themeFill="accent2" w:themeFillShade="80"/>
          </w:tcPr>
          <w:p w14:paraId="75C2A374"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833C0B" w:themeFill="accent2" w:themeFillShade="80"/>
          </w:tcPr>
          <w:p w14:paraId="47057D3F" w14:textId="77777777" w:rsidR="00C03EC4" w:rsidRPr="00E41E0A" w:rsidRDefault="00C03EC4" w:rsidP="000D6136">
            <w:pPr>
              <w:spacing w:before="240"/>
              <w:ind w:right="-284"/>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11</w:t>
            </w:r>
          </w:p>
        </w:tc>
        <w:tc>
          <w:tcPr>
            <w:tcW w:w="4010" w:type="pct"/>
            <w:shd w:val="clear" w:color="auto" w:fill="FBE4D5" w:themeFill="accent2" w:themeFillTint="33"/>
          </w:tcPr>
          <w:p w14:paraId="38A2A723"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Faire en sorte que les villes et les établissements humains soient ouverts</w:t>
            </w:r>
          </w:p>
          <w:p w14:paraId="52F2CDF8"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à tous, sûrs, résilients et durables</w:t>
            </w:r>
          </w:p>
        </w:tc>
      </w:tr>
      <w:tr w:rsidR="00C03EC4" w:rsidRPr="00E41E0A" w14:paraId="37C19B76" w14:textId="77777777" w:rsidTr="000D6136">
        <w:tc>
          <w:tcPr>
            <w:cnfStyle w:val="001000000000" w:firstRow="0" w:lastRow="0" w:firstColumn="1" w:lastColumn="0" w:oddVBand="0" w:evenVBand="0" w:oddHBand="0" w:evenHBand="0" w:firstRowFirstColumn="0" w:firstRowLastColumn="0" w:lastRowFirstColumn="0" w:lastRowLastColumn="0"/>
            <w:tcW w:w="487" w:type="pct"/>
            <w:shd w:val="clear" w:color="auto" w:fill="5B9BD5" w:themeFill="accent5"/>
          </w:tcPr>
          <w:p w14:paraId="3DFD6C2B"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5B9BD5" w:themeFill="accent5"/>
          </w:tcPr>
          <w:p w14:paraId="3E2B898F"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ODD12</w:t>
            </w:r>
          </w:p>
        </w:tc>
        <w:tc>
          <w:tcPr>
            <w:tcW w:w="4010" w:type="pct"/>
          </w:tcPr>
          <w:p w14:paraId="274907EB"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Établir des modes de consommation et de production durables</w:t>
            </w:r>
          </w:p>
        </w:tc>
      </w:tr>
      <w:tr w:rsidR="00C03EC4" w:rsidRPr="00E41E0A" w14:paraId="39069DEF" w14:textId="77777777" w:rsidTr="000D6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shd w:val="clear" w:color="auto" w:fill="880202"/>
          </w:tcPr>
          <w:p w14:paraId="1975D696"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880202"/>
          </w:tcPr>
          <w:p w14:paraId="58B5EE5D" w14:textId="77777777" w:rsidR="00C03EC4" w:rsidRPr="00E41E0A" w:rsidRDefault="00C03EC4" w:rsidP="000D6136">
            <w:pPr>
              <w:spacing w:before="240"/>
              <w:ind w:right="-284"/>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ODD13</w:t>
            </w:r>
          </w:p>
        </w:tc>
        <w:tc>
          <w:tcPr>
            <w:tcW w:w="4010" w:type="pct"/>
            <w:shd w:val="clear" w:color="auto" w:fill="FFDDDD"/>
          </w:tcPr>
          <w:p w14:paraId="568656A0"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Prendre d’urgence des mesures pour lutter contre les changements</w:t>
            </w:r>
          </w:p>
          <w:p w14:paraId="7AB62717"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climatiques et leurs répercussions</w:t>
            </w:r>
          </w:p>
        </w:tc>
      </w:tr>
      <w:tr w:rsidR="00C03EC4" w:rsidRPr="00E41E0A" w14:paraId="546504CB" w14:textId="77777777" w:rsidTr="000D6136">
        <w:tc>
          <w:tcPr>
            <w:cnfStyle w:val="001000000000" w:firstRow="0" w:lastRow="0" w:firstColumn="1" w:lastColumn="0" w:oddVBand="0" w:evenVBand="0" w:oddHBand="0" w:evenHBand="0" w:firstRowFirstColumn="0" w:firstRowLastColumn="0" w:lastRowFirstColumn="0" w:lastRowLastColumn="0"/>
            <w:tcW w:w="487" w:type="pct"/>
            <w:shd w:val="clear" w:color="auto" w:fill="0FBDC1"/>
          </w:tcPr>
          <w:p w14:paraId="4DE5A7F9"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0FBDC1"/>
          </w:tcPr>
          <w:p w14:paraId="7E69E69A"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15</w:t>
            </w:r>
          </w:p>
        </w:tc>
        <w:tc>
          <w:tcPr>
            <w:tcW w:w="4010" w:type="pct"/>
            <w:shd w:val="clear" w:color="auto" w:fill="74F1F4"/>
          </w:tcPr>
          <w:p w14:paraId="3FC09868" w14:textId="77777777" w:rsidR="00C03EC4"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Préserver et restaurer les écosystèmes terrestres, en veillant à les exploiter</w:t>
            </w:r>
            <w:r>
              <w:rPr>
                <w:rFonts w:asciiTheme="majorHAnsi" w:hAnsiTheme="majorHAnsi" w:cstheme="majorHAnsi"/>
                <w:sz w:val="20"/>
              </w:rPr>
              <w:t xml:space="preserve"> </w:t>
            </w:r>
            <w:r w:rsidRPr="00E41E0A">
              <w:rPr>
                <w:rFonts w:asciiTheme="majorHAnsi" w:hAnsiTheme="majorHAnsi" w:cstheme="majorHAnsi"/>
                <w:sz w:val="20"/>
              </w:rPr>
              <w:t>de façon durable, gérer durablement les forêts, lutter contre la désertification,</w:t>
            </w:r>
            <w:r>
              <w:rPr>
                <w:rFonts w:asciiTheme="majorHAnsi" w:hAnsiTheme="majorHAnsi" w:cstheme="majorHAnsi"/>
                <w:sz w:val="20"/>
              </w:rPr>
              <w:t xml:space="preserve"> </w:t>
            </w:r>
            <w:r w:rsidRPr="00E41E0A">
              <w:rPr>
                <w:rFonts w:asciiTheme="majorHAnsi" w:hAnsiTheme="majorHAnsi" w:cstheme="majorHAnsi"/>
                <w:sz w:val="20"/>
              </w:rPr>
              <w:t xml:space="preserve">enrayer et inverser le processus </w:t>
            </w:r>
          </w:p>
          <w:p w14:paraId="5AA3AE5D"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de dégradation des terres et mettre fin à l’appauvrissement de la biodiversité</w:t>
            </w:r>
          </w:p>
        </w:tc>
      </w:tr>
      <w:tr w:rsidR="00C03EC4" w:rsidRPr="00E41E0A" w14:paraId="7419C986" w14:textId="77777777" w:rsidTr="000D6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shd w:val="clear" w:color="auto" w:fill="1F3864" w:themeFill="accent1" w:themeFillShade="80"/>
          </w:tcPr>
          <w:p w14:paraId="4275C5E0"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1F3864" w:themeFill="accent1" w:themeFillShade="80"/>
          </w:tcPr>
          <w:p w14:paraId="3B34EBF5" w14:textId="77777777" w:rsidR="00C03EC4" w:rsidRPr="00E41E0A" w:rsidRDefault="00C03EC4" w:rsidP="000D6136">
            <w:pPr>
              <w:spacing w:before="240"/>
              <w:ind w:right="-284"/>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 16</w:t>
            </w:r>
          </w:p>
        </w:tc>
        <w:tc>
          <w:tcPr>
            <w:tcW w:w="4010" w:type="pct"/>
            <w:shd w:val="clear" w:color="auto" w:fill="B4C6E7" w:themeFill="accent1" w:themeFillTint="66"/>
          </w:tcPr>
          <w:p w14:paraId="784CD7B7" w14:textId="77777777" w:rsidR="00C03EC4"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Promouvoir l’avènement de sociétés pacifiques et inclusives aux fins du</w:t>
            </w:r>
            <w:r>
              <w:rPr>
                <w:rFonts w:asciiTheme="majorHAnsi" w:hAnsiTheme="majorHAnsi" w:cstheme="majorHAnsi"/>
                <w:sz w:val="20"/>
              </w:rPr>
              <w:t xml:space="preserve"> </w:t>
            </w:r>
            <w:r w:rsidRPr="00E41E0A">
              <w:rPr>
                <w:rFonts w:asciiTheme="majorHAnsi" w:hAnsiTheme="majorHAnsi" w:cstheme="majorHAnsi"/>
                <w:sz w:val="20"/>
              </w:rPr>
              <w:t xml:space="preserve">développement </w:t>
            </w:r>
          </w:p>
          <w:p w14:paraId="36FC6CC9" w14:textId="77777777" w:rsidR="00C03EC4"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durable, assurer l’accès de tous à la justice et mettre en place,</w:t>
            </w:r>
            <w:r>
              <w:rPr>
                <w:rFonts w:asciiTheme="majorHAnsi" w:hAnsiTheme="majorHAnsi" w:cstheme="majorHAnsi"/>
                <w:sz w:val="20"/>
              </w:rPr>
              <w:t xml:space="preserve"> </w:t>
            </w:r>
            <w:r w:rsidRPr="00E41E0A">
              <w:rPr>
                <w:rFonts w:asciiTheme="majorHAnsi" w:hAnsiTheme="majorHAnsi" w:cstheme="majorHAnsi"/>
                <w:sz w:val="20"/>
              </w:rPr>
              <w:t xml:space="preserve">à tous les niveaux, </w:t>
            </w:r>
          </w:p>
          <w:p w14:paraId="0CE624AD" w14:textId="77777777" w:rsidR="00C03EC4" w:rsidRPr="00E41E0A" w:rsidRDefault="00C03EC4" w:rsidP="000D6136">
            <w:pPr>
              <w:spacing w:before="240"/>
              <w:ind w:right="-284"/>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des institutions</w:t>
            </w:r>
            <w:r>
              <w:rPr>
                <w:rFonts w:asciiTheme="majorHAnsi" w:hAnsiTheme="majorHAnsi" w:cstheme="majorHAnsi"/>
                <w:sz w:val="20"/>
              </w:rPr>
              <w:t xml:space="preserve"> </w:t>
            </w:r>
            <w:r w:rsidRPr="00E41E0A">
              <w:rPr>
                <w:rFonts w:asciiTheme="majorHAnsi" w:hAnsiTheme="majorHAnsi" w:cstheme="majorHAnsi"/>
                <w:sz w:val="20"/>
              </w:rPr>
              <w:t>efficaces, responsables et ouvertes à tous</w:t>
            </w:r>
          </w:p>
        </w:tc>
      </w:tr>
      <w:tr w:rsidR="00C03EC4" w:rsidRPr="00E41E0A" w14:paraId="69572091" w14:textId="77777777" w:rsidTr="000D6136">
        <w:tc>
          <w:tcPr>
            <w:cnfStyle w:val="001000000000" w:firstRow="0" w:lastRow="0" w:firstColumn="1" w:lastColumn="0" w:oddVBand="0" w:evenVBand="0" w:oddHBand="0" w:evenHBand="0" w:firstRowFirstColumn="0" w:firstRowLastColumn="0" w:lastRowFirstColumn="0" w:lastRowLastColumn="0"/>
            <w:tcW w:w="487" w:type="pct"/>
            <w:shd w:val="clear" w:color="auto" w:fill="0D0D0D" w:themeFill="text1" w:themeFillTint="F2"/>
          </w:tcPr>
          <w:p w14:paraId="1C55213A" w14:textId="77777777" w:rsidR="00C03EC4" w:rsidRPr="00E41E0A" w:rsidRDefault="00C03EC4" w:rsidP="000D6136">
            <w:pPr>
              <w:spacing w:before="240"/>
              <w:ind w:right="-284"/>
              <w:jc w:val="right"/>
              <w:rPr>
                <w:rFonts w:asciiTheme="majorHAnsi" w:hAnsiTheme="majorHAnsi" w:cstheme="majorHAnsi"/>
                <w:b w:val="0"/>
                <w:color w:val="auto"/>
                <w:sz w:val="20"/>
              </w:rPr>
            </w:pPr>
          </w:p>
        </w:tc>
        <w:tc>
          <w:tcPr>
            <w:tcW w:w="503" w:type="pct"/>
            <w:shd w:val="clear" w:color="auto" w:fill="0D0D0D" w:themeFill="text1" w:themeFillTint="F2"/>
          </w:tcPr>
          <w:p w14:paraId="08E8782E" w14:textId="77777777" w:rsidR="00C03EC4" w:rsidRPr="00E41E0A" w:rsidRDefault="00C03EC4" w:rsidP="000D6136">
            <w:pPr>
              <w:spacing w:before="240"/>
              <w:ind w:right="-28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b/>
                <w:sz w:val="20"/>
              </w:rPr>
              <w:t>ODD17</w:t>
            </w:r>
          </w:p>
        </w:tc>
        <w:tc>
          <w:tcPr>
            <w:tcW w:w="4010" w:type="pct"/>
            <w:shd w:val="clear" w:color="auto" w:fill="BFBFBF" w:themeFill="background1" w:themeFillShade="BF"/>
          </w:tcPr>
          <w:p w14:paraId="59572279"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E41E0A">
              <w:rPr>
                <w:rFonts w:asciiTheme="majorHAnsi" w:hAnsiTheme="majorHAnsi" w:cstheme="majorHAnsi"/>
                <w:sz w:val="20"/>
              </w:rPr>
              <w:t>Renforcer les moyens de mettre en œuvre le Partenariat mondial pour</w:t>
            </w:r>
          </w:p>
          <w:p w14:paraId="7ED26AC6" w14:textId="77777777" w:rsidR="00C03EC4" w:rsidRPr="00E41E0A" w:rsidRDefault="00C03EC4" w:rsidP="000D6136">
            <w:pPr>
              <w:spacing w:before="240"/>
              <w:ind w:right="-284"/>
              <w:contextualSpacing/>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rPr>
            </w:pPr>
            <w:r w:rsidRPr="00E41E0A">
              <w:rPr>
                <w:rFonts w:asciiTheme="majorHAnsi" w:hAnsiTheme="majorHAnsi" w:cstheme="majorHAnsi"/>
                <w:sz w:val="20"/>
              </w:rPr>
              <w:t>le développement durable et le revitaliser</w:t>
            </w:r>
          </w:p>
        </w:tc>
      </w:tr>
    </w:tbl>
    <w:p w14:paraId="4E895795" w14:textId="77777777" w:rsidR="00C03EC4" w:rsidRPr="002E75D4" w:rsidRDefault="00C03EC4" w:rsidP="00C03EC4">
      <w:pPr>
        <w:spacing w:line="240" w:lineRule="auto"/>
        <w:ind w:right="-284"/>
        <w:jc w:val="both"/>
        <w:rPr>
          <w:rFonts w:asciiTheme="majorHAnsi" w:hAnsiTheme="majorHAnsi" w:cstheme="majorHAnsi"/>
          <w:sz w:val="24"/>
          <w:szCs w:val="24"/>
        </w:rPr>
      </w:pPr>
    </w:p>
    <w:p w14:paraId="05F1C11B" w14:textId="77777777" w:rsidR="00C03EC4" w:rsidRPr="002E75D4" w:rsidRDefault="00C03EC4" w:rsidP="00C03EC4">
      <w:pPr>
        <w:spacing w:line="240" w:lineRule="auto"/>
        <w:ind w:right="-284"/>
        <w:jc w:val="both"/>
        <w:rPr>
          <w:rFonts w:asciiTheme="majorHAnsi" w:hAnsiTheme="majorHAnsi" w:cstheme="majorHAnsi"/>
          <w:b/>
          <w:bCs/>
          <w:sz w:val="24"/>
          <w:szCs w:val="24"/>
        </w:rPr>
      </w:pPr>
      <w:r w:rsidRPr="002E75D4">
        <w:rPr>
          <w:rFonts w:asciiTheme="majorHAnsi" w:hAnsiTheme="majorHAnsi" w:cstheme="majorHAnsi"/>
          <w:b/>
          <w:bCs/>
          <w:sz w:val="24"/>
          <w:szCs w:val="24"/>
        </w:rPr>
        <w:t>Indicateurs proposés pour le suivi de la CDN</w:t>
      </w:r>
    </w:p>
    <w:p w14:paraId="2689D159" w14:textId="77777777" w:rsidR="00C03EC4" w:rsidRPr="002E75D4" w:rsidRDefault="00C03EC4" w:rsidP="00C03EC4">
      <w:pPr>
        <w:spacing w:line="240" w:lineRule="auto"/>
        <w:ind w:right="-284"/>
        <w:jc w:val="both"/>
        <w:rPr>
          <w:rFonts w:asciiTheme="majorHAnsi" w:hAnsiTheme="majorHAnsi" w:cstheme="majorHAnsi"/>
          <w:sz w:val="24"/>
          <w:szCs w:val="24"/>
        </w:rPr>
      </w:pPr>
      <w:r w:rsidRPr="002E75D4">
        <w:rPr>
          <w:rFonts w:asciiTheme="majorHAnsi" w:hAnsiTheme="majorHAnsi" w:cstheme="majorHAnsi"/>
          <w:sz w:val="24"/>
          <w:szCs w:val="24"/>
        </w:rPr>
        <w:t>Aux 27 indicateurs techniques issus de la base de données du SNGIE (indicateurs d’état, de pression ou de réponse) s’ajoutent trois indicateurs de suivi du fonctionnement général de la CDN (sur le suivi périodique des émissions de gaz à effet de serre, sur l’état d’avancement des projets relevant de la CDN et sur le suivi du financement de la CDN), portant le nombre des indicateurs de suivi de la CDN à 30.</w:t>
      </w:r>
    </w:p>
    <w:p w14:paraId="10310114" w14:textId="77777777" w:rsidR="00C03EC4" w:rsidRPr="002E75D4" w:rsidRDefault="00C03EC4" w:rsidP="00C03EC4">
      <w:pPr>
        <w:spacing w:line="240" w:lineRule="auto"/>
        <w:ind w:right="-284"/>
        <w:jc w:val="both"/>
        <w:rPr>
          <w:rFonts w:asciiTheme="majorHAnsi" w:hAnsiTheme="majorHAnsi" w:cstheme="majorHAnsi"/>
          <w:sz w:val="24"/>
          <w:szCs w:val="24"/>
        </w:rPr>
      </w:pPr>
      <w:r w:rsidRPr="002E75D4">
        <w:rPr>
          <w:rFonts w:asciiTheme="majorHAnsi" w:hAnsiTheme="majorHAnsi" w:cstheme="majorHAnsi"/>
          <w:sz w:val="24"/>
          <w:szCs w:val="24"/>
        </w:rPr>
        <w:t>Le bilan de ces indicateurs est effectué dans le tableau suivant.</w:t>
      </w:r>
    </w:p>
    <w:p w14:paraId="43030327" w14:textId="77777777" w:rsidR="00C03EC4" w:rsidRDefault="00C03EC4" w:rsidP="00C03EC4">
      <w:pPr>
        <w:spacing w:line="240" w:lineRule="auto"/>
        <w:ind w:right="-284"/>
        <w:jc w:val="both"/>
        <w:rPr>
          <w:rFonts w:asciiTheme="majorHAnsi" w:hAnsiTheme="majorHAnsi" w:cstheme="majorHAnsi"/>
          <w:sz w:val="24"/>
          <w:szCs w:val="24"/>
        </w:rPr>
      </w:pPr>
      <w:r w:rsidRPr="002E75D4">
        <w:rPr>
          <w:rFonts w:asciiTheme="majorHAnsi" w:hAnsiTheme="majorHAnsi" w:cstheme="majorHAnsi"/>
          <w:b/>
          <w:bCs/>
          <w:sz w:val="24"/>
          <w:szCs w:val="24"/>
        </w:rPr>
        <w:t>Tableau 20 :</w:t>
      </w:r>
      <w:r w:rsidRPr="002E75D4">
        <w:rPr>
          <w:rFonts w:asciiTheme="majorHAnsi" w:hAnsiTheme="majorHAnsi" w:cstheme="majorHAnsi"/>
          <w:sz w:val="24"/>
          <w:szCs w:val="24"/>
        </w:rPr>
        <w:t xml:space="preserve"> Indicateurs proposés pour le suivi de la mise en œuvre de la CDN :</w:t>
      </w:r>
    </w:p>
    <w:p w14:paraId="659CD36C" w14:textId="77777777" w:rsidR="00C03EC4" w:rsidRPr="002E75D4" w:rsidRDefault="00C03EC4" w:rsidP="00C03EC4">
      <w:pPr>
        <w:spacing w:line="240" w:lineRule="auto"/>
        <w:ind w:right="-284"/>
        <w:jc w:val="both"/>
        <w:rPr>
          <w:rFonts w:asciiTheme="majorHAnsi" w:hAnsiTheme="majorHAnsi" w:cstheme="majorHAnsi"/>
          <w:sz w:val="24"/>
          <w:szCs w:val="24"/>
        </w:rPr>
      </w:pPr>
    </w:p>
    <w:tbl>
      <w:tblPr>
        <w:tblStyle w:val="Grillemoyenne3-Accent1"/>
        <w:tblW w:w="10072" w:type="dxa"/>
        <w:tblLook w:val="04A0" w:firstRow="1" w:lastRow="0" w:firstColumn="1" w:lastColumn="0" w:noHBand="0" w:noVBand="1"/>
      </w:tblPr>
      <w:tblGrid>
        <w:gridCol w:w="440"/>
        <w:gridCol w:w="6628"/>
        <w:gridCol w:w="1508"/>
        <w:gridCol w:w="1496"/>
      </w:tblGrid>
      <w:tr w:rsidR="00C03EC4" w:rsidRPr="002E75D4" w14:paraId="0401D7DB" w14:textId="77777777" w:rsidTr="000D6136">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5" w:type="dxa"/>
            <w:shd w:val="clear" w:color="auto" w:fill="000000" w:themeFill="text1"/>
            <w:hideMark/>
          </w:tcPr>
          <w:p w14:paraId="4C67B16C" w14:textId="77777777" w:rsidR="00C03EC4" w:rsidRPr="002E75D4" w:rsidRDefault="00C03EC4" w:rsidP="000D6136">
            <w:pPr>
              <w:jc w:val="center"/>
              <w:rPr>
                <w:rFonts w:asciiTheme="majorHAnsi" w:hAnsiTheme="majorHAnsi" w:cstheme="majorHAnsi"/>
                <w:color w:val="auto"/>
              </w:rPr>
            </w:pPr>
            <w:r w:rsidRPr="002E75D4">
              <w:rPr>
                <w:rFonts w:asciiTheme="majorHAnsi" w:hAnsiTheme="majorHAnsi" w:cstheme="majorHAnsi"/>
                <w:color w:val="auto"/>
              </w:rPr>
              <w:t>N°</w:t>
            </w:r>
          </w:p>
        </w:tc>
        <w:tc>
          <w:tcPr>
            <w:tcW w:w="6628" w:type="dxa"/>
            <w:shd w:val="clear" w:color="auto" w:fill="C00000"/>
            <w:hideMark/>
          </w:tcPr>
          <w:p w14:paraId="410E583F" w14:textId="77777777" w:rsidR="00C03EC4" w:rsidRPr="002E75D4" w:rsidRDefault="00C03EC4" w:rsidP="000D613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2E75D4">
              <w:rPr>
                <w:rFonts w:asciiTheme="majorHAnsi" w:hAnsiTheme="majorHAnsi" w:cstheme="majorHAnsi"/>
                <w:color w:val="auto"/>
              </w:rPr>
              <w:t>Indicateurs</w:t>
            </w:r>
          </w:p>
        </w:tc>
        <w:tc>
          <w:tcPr>
            <w:tcW w:w="1528" w:type="dxa"/>
            <w:shd w:val="clear" w:color="auto" w:fill="BF8F00" w:themeFill="accent4" w:themeFillShade="BF"/>
            <w:hideMark/>
          </w:tcPr>
          <w:p w14:paraId="5E5C44D2" w14:textId="77777777" w:rsidR="00C03EC4" w:rsidRPr="002E75D4" w:rsidRDefault="00C03EC4" w:rsidP="000D613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2E75D4">
              <w:rPr>
                <w:rFonts w:asciiTheme="majorHAnsi" w:hAnsiTheme="majorHAnsi" w:cstheme="majorHAnsi"/>
                <w:color w:val="auto"/>
              </w:rPr>
              <w:t>Institutions responsables</w:t>
            </w:r>
          </w:p>
        </w:tc>
        <w:tc>
          <w:tcPr>
            <w:tcW w:w="1481" w:type="dxa"/>
            <w:shd w:val="clear" w:color="auto" w:fill="002060"/>
          </w:tcPr>
          <w:p w14:paraId="14C927A0" w14:textId="77777777" w:rsidR="00C03EC4" w:rsidRPr="002E75D4" w:rsidRDefault="00C03EC4" w:rsidP="000D613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2E75D4">
              <w:rPr>
                <w:rFonts w:asciiTheme="majorHAnsi" w:hAnsiTheme="majorHAnsi" w:cstheme="majorHAnsi"/>
                <w:color w:val="auto"/>
              </w:rPr>
              <w:t>ODD de rattachement</w:t>
            </w:r>
          </w:p>
        </w:tc>
      </w:tr>
      <w:tr w:rsidR="00C03EC4" w:rsidRPr="002E75D4" w14:paraId="26572CE2"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072" w:type="dxa"/>
            <w:gridSpan w:val="4"/>
            <w:shd w:val="clear" w:color="auto" w:fill="808080" w:themeFill="background1" w:themeFillShade="80"/>
          </w:tcPr>
          <w:p w14:paraId="55C29EE9" w14:textId="77777777" w:rsidR="00C03EC4" w:rsidRPr="002E75D4" w:rsidRDefault="00C03EC4" w:rsidP="000D6136">
            <w:pPr>
              <w:jc w:val="center"/>
              <w:rPr>
                <w:rFonts w:asciiTheme="majorHAnsi" w:hAnsiTheme="majorHAnsi" w:cstheme="majorHAnsi"/>
                <w:color w:val="auto"/>
              </w:rPr>
            </w:pPr>
            <w:r w:rsidRPr="002E75D4">
              <w:rPr>
                <w:rFonts w:asciiTheme="majorHAnsi" w:hAnsiTheme="majorHAnsi" w:cstheme="majorHAnsi"/>
                <w:color w:val="auto"/>
              </w:rPr>
              <w:t>Indicateurs issus de la base de données du SNGIE</w:t>
            </w:r>
          </w:p>
        </w:tc>
      </w:tr>
      <w:tr w:rsidR="00C03EC4" w:rsidRPr="002E75D4" w14:paraId="369820B3"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7961A494"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w:t>
            </w:r>
          </w:p>
        </w:tc>
        <w:tc>
          <w:tcPr>
            <w:tcW w:w="6628" w:type="dxa"/>
            <w:shd w:val="clear" w:color="auto" w:fill="FFEFEF"/>
            <w:noWrap/>
            <w:hideMark/>
          </w:tcPr>
          <w:p w14:paraId="31F3B0B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Taux d'Accès à l'Electricité Rurale</w:t>
            </w:r>
          </w:p>
        </w:tc>
        <w:tc>
          <w:tcPr>
            <w:tcW w:w="1460" w:type="dxa"/>
            <w:shd w:val="clear" w:color="auto" w:fill="FFF2CC" w:themeFill="accent4" w:themeFillTint="33"/>
            <w:hideMark/>
          </w:tcPr>
          <w:p w14:paraId="6CCFF695"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w:t>
            </w:r>
          </w:p>
        </w:tc>
        <w:tc>
          <w:tcPr>
            <w:tcW w:w="1549" w:type="dxa"/>
          </w:tcPr>
          <w:p w14:paraId="0133AD9D"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7°et 9</w:t>
            </w:r>
          </w:p>
        </w:tc>
      </w:tr>
      <w:tr w:rsidR="00C03EC4" w:rsidRPr="002E75D4" w14:paraId="5B6E27D6"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052B4381"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w:t>
            </w:r>
          </w:p>
        </w:tc>
        <w:tc>
          <w:tcPr>
            <w:tcW w:w="6628" w:type="dxa"/>
            <w:shd w:val="clear" w:color="auto" w:fill="FFDDDD"/>
            <w:noWrap/>
            <w:hideMark/>
          </w:tcPr>
          <w:p w14:paraId="67C96DF3"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Taux d'Accès à l'Electricité Urbaine</w:t>
            </w:r>
          </w:p>
        </w:tc>
        <w:tc>
          <w:tcPr>
            <w:tcW w:w="1460" w:type="dxa"/>
            <w:shd w:val="clear" w:color="auto" w:fill="FFE599" w:themeFill="accent4" w:themeFillTint="66"/>
            <w:hideMark/>
          </w:tcPr>
          <w:p w14:paraId="358BE50F"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w:t>
            </w:r>
          </w:p>
        </w:tc>
        <w:tc>
          <w:tcPr>
            <w:tcW w:w="1549" w:type="dxa"/>
          </w:tcPr>
          <w:p w14:paraId="52DF4BDC"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7°et 9</w:t>
            </w:r>
          </w:p>
        </w:tc>
      </w:tr>
      <w:tr w:rsidR="00C03EC4" w:rsidRPr="002E75D4" w14:paraId="59232CB7"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2BFB32AE"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3</w:t>
            </w:r>
          </w:p>
        </w:tc>
        <w:tc>
          <w:tcPr>
            <w:tcW w:w="6628" w:type="dxa"/>
            <w:shd w:val="clear" w:color="auto" w:fill="FFEFEF"/>
            <w:noWrap/>
            <w:hideMark/>
          </w:tcPr>
          <w:p w14:paraId="5ED4134D"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Part des énergies renouvelable dans le mixte énergétique</w:t>
            </w:r>
          </w:p>
        </w:tc>
        <w:tc>
          <w:tcPr>
            <w:tcW w:w="1460" w:type="dxa"/>
            <w:shd w:val="clear" w:color="auto" w:fill="FFF2CC" w:themeFill="accent4" w:themeFillTint="33"/>
            <w:hideMark/>
          </w:tcPr>
          <w:p w14:paraId="08F565DD"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w:t>
            </w:r>
          </w:p>
        </w:tc>
        <w:tc>
          <w:tcPr>
            <w:tcW w:w="1549" w:type="dxa"/>
          </w:tcPr>
          <w:p w14:paraId="4951908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7°et 9</w:t>
            </w:r>
          </w:p>
        </w:tc>
      </w:tr>
      <w:tr w:rsidR="00C03EC4" w:rsidRPr="002E75D4" w14:paraId="594059B5"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35774ADD"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4</w:t>
            </w:r>
          </w:p>
        </w:tc>
        <w:tc>
          <w:tcPr>
            <w:tcW w:w="6628" w:type="dxa"/>
            <w:shd w:val="clear" w:color="auto" w:fill="FFDDDD"/>
            <w:noWrap/>
            <w:hideMark/>
          </w:tcPr>
          <w:p w14:paraId="3C7FC6B8"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 xml:space="preserve">Taux d'évolution de la consommation du gaz butane </w:t>
            </w:r>
          </w:p>
        </w:tc>
        <w:tc>
          <w:tcPr>
            <w:tcW w:w="1460" w:type="dxa"/>
            <w:shd w:val="clear" w:color="auto" w:fill="FFE599" w:themeFill="accent4" w:themeFillTint="66"/>
            <w:hideMark/>
          </w:tcPr>
          <w:p w14:paraId="0CF750CC"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w:t>
            </w:r>
          </w:p>
        </w:tc>
        <w:tc>
          <w:tcPr>
            <w:tcW w:w="1549" w:type="dxa"/>
          </w:tcPr>
          <w:p w14:paraId="06E34E52"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7°et 9</w:t>
            </w:r>
          </w:p>
        </w:tc>
      </w:tr>
      <w:tr w:rsidR="00C03EC4" w:rsidRPr="002E75D4" w14:paraId="69A174E9"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14BE5E42"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5</w:t>
            </w:r>
          </w:p>
        </w:tc>
        <w:tc>
          <w:tcPr>
            <w:tcW w:w="6628" w:type="dxa"/>
            <w:shd w:val="clear" w:color="auto" w:fill="FFEFEF"/>
            <w:noWrap/>
            <w:hideMark/>
          </w:tcPr>
          <w:p w14:paraId="6632B3D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Nombre de centrales solaires installées au Mal</w:t>
            </w:r>
          </w:p>
        </w:tc>
        <w:tc>
          <w:tcPr>
            <w:tcW w:w="1460" w:type="dxa"/>
            <w:shd w:val="clear" w:color="auto" w:fill="FFF2CC" w:themeFill="accent4" w:themeFillTint="33"/>
            <w:hideMark/>
          </w:tcPr>
          <w:p w14:paraId="422AED5E"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AER- Mali</w:t>
            </w:r>
          </w:p>
        </w:tc>
        <w:tc>
          <w:tcPr>
            <w:tcW w:w="1549" w:type="dxa"/>
          </w:tcPr>
          <w:p w14:paraId="03E0FEF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7°et 9</w:t>
            </w:r>
          </w:p>
        </w:tc>
      </w:tr>
      <w:tr w:rsidR="00C03EC4" w:rsidRPr="002E75D4" w14:paraId="1B3BB80A"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720EF72B"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6</w:t>
            </w:r>
          </w:p>
        </w:tc>
        <w:tc>
          <w:tcPr>
            <w:tcW w:w="6628" w:type="dxa"/>
            <w:shd w:val="clear" w:color="auto" w:fill="FFDDDD"/>
            <w:noWrap/>
            <w:hideMark/>
          </w:tcPr>
          <w:p w14:paraId="432D155F"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 agricole aménagée en maîtrise totale d'eau</w:t>
            </w:r>
          </w:p>
        </w:tc>
        <w:tc>
          <w:tcPr>
            <w:tcW w:w="1460" w:type="dxa"/>
            <w:shd w:val="clear" w:color="auto" w:fill="FFE599" w:themeFill="accent4" w:themeFillTint="66"/>
            <w:hideMark/>
          </w:tcPr>
          <w:p w14:paraId="3399B4F4"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DNGR/DNA</w:t>
            </w:r>
          </w:p>
        </w:tc>
        <w:tc>
          <w:tcPr>
            <w:tcW w:w="1549" w:type="dxa"/>
          </w:tcPr>
          <w:p w14:paraId="2ABFCD82"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2</w:t>
            </w:r>
          </w:p>
        </w:tc>
      </w:tr>
      <w:tr w:rsidR="00C03EC4" w:rsidRPr="002E75D4" w14:paraId="3A2B6053"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5D1019DE"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8</w:t>
            </w:r>
          </w:p>
        </w:tc>
        <w:tc>
          <w:tcPr>
            <w:tcW w:w="6628" w:type="dxa"/>
            <w:shd w:val="clear" w:color="auto" w:fill="FFEFEF"/>
            <w:noWrap/>
            <w:hideMark/>
          </w:tcPr>
          <w:p w14:paraId="4DBD495E"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Superficies des terres cultivées dans les zones humides</w:t>
            </w:r>
          </w:p>
        </w:tc>
        <w:tc>
          <w:tcPr>
            <w:tcW w:w="1460" w:type="dxa"/>
            <w:shd w:val="clear" w:color="auto" w:fill="FFF2CC" w:themeFill="accent4" w:themeFillTint="33"/>
            <w:hideMark/>
          </w:tcPr>
          <w:p w14:paraId="71B46E51"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DNA</w:t>
            </w:r>
          </w:p>
        </w:tc>
        <w:tc>
          <w:tcPr>
            <w:tcW w:w="1549" w:type="dxa"/>
          </w:tcPr>
          <w:p w14:paraId="31F90B18"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114AFDEA"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2D1B2A5E"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9</w:t>
            </w:r>
          </w:p>
        </w:tc>
        <w:tc>
          <w:tcPr>
            <w:tcW w:w="6628" w:type="dxa"/>
            <w:shd w:val="clear" w:color="auto" w:fill="FFDDDD"/>
            <w:noWrap/>
            <w:hideMark/>
          </w:tcPr>
          <w:p w14:paraId="0635264D"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 xml:space="preserve"> Superficies défrichées annuellement par l’agriculture</w:t>
            </w:r>
          </w:p>
        </w:tc>
        <w:tc>
          <w:tcPr>
            <w:tcW w:w="1460" w:type="dxa"/>
            <w:shd w:val="clear" w:color="auto" w:fill="FFE599" w:themeFill="accent4" w:themeFillTint="66"/>
            <w:hideMark/>
          </w:tcPr>
          <w:p w14:paraId="400B1CC2"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DNA/DNEF</w:t>
            </w:r>
          </w:p>
        </w:tc>
        <w:tc>
          <w:tcPr>
            <w:tcW w:w="1549" w:type="dxa"/>
          </w:tcPr>
          <w:p w14:paraId="055B0E94"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6305A413"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04FBABB0"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10</w:t>
            </w:r>
          </w:p>
        </w:tc>
        <w:tc>
          <w:tcPr>
            <w:tcW w:w="6628" w:type="dxa"/>
            <w:shd w:val="clear" w:color="auto" w:fill="FFEFEF"/>
            <w:noWrap/>
            <w:hideMark/>
          </w:tcPr>
          <w:p w14:paraId="45F642D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Quantité de Polluants organiques persistants stockée/utilisée</w:t>
            </w:r>
          </w:p>
        </w:tc>
        <w:tc>
          <w:tcPr>
            <w:tcW w:w="1460" w:type="dxa"/>
            <w:shd w:val="clear" w:color="auto" w:fill="FFF2CC" w:themeFill="accent4" w:themeFillTint="33"/>
            <w:hideMark/>
          </w:tcPr>
          <w:p w14:paraId="136E61DC"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DNA DNACPN</w:t>
            </w:r>
          </w:p>
        </w:tc>
        <w:tc>
          <w:tcPr>
            <w:tcW w:w="1549" w:type="dxa"/>
          </w:tcPr>
          <w:p w14:paraId="0CACFA29"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ODD12</w:t>
            </w:r>
          </w:p>
        </w:tc>
      </w:tr>
      <w:tr w:rsidR="00C03EC4" w:rsidRPr="002E75D4" w14:paraId="5CBC7EE3"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6A745B0B"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11</w:t>
            </w:r>
          </w:p>
        </w:tc>
        <w:tc>
          <w:tcPr>
            <w:tcW w:w="6628" w:type="dxa"/>
            <w:shd w:val="clear" w:color="auto" w:fill="FFDDDD"/>
            <w:noWrap/>
            <w:hideMark/>
          </w:tcPr>
          <w:p w14:paraId="0CD5B5A7"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Quantité de pesticides utilisée</w:t>
            </w:r>
          </w:p>
        </w:tc>
        <w:tc>
          <w:tcPr>
            <w:tcW w:w="1460" w:type="dxa"/>
            <w:shd w:val="clear" w:color="auto" w:fill="FFE599" w:themeFill="accent4" w:themeFillTint="66"/>
            <w:hideMark/>
          </w:tcPr>
          <w:p w14:paraId="7DA6766B"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DNA/DOUANE</w:t>
            </w:r>
          </w:p>
        </w:tc>
        <w:tc>
          <w:tcPr>
            <w:tcW w:w="1549" w:type="dxa"/>
          </w:tcPr>
          <w:p w14:paraId="7619F442"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6 :</w:t>
            </w:r>
          </w:p>
        </w:tc>
      </w:tr>
      <w:tr w:rsidR="00C03EC4" w:rsidRPr="002E75D4" w14:paraId="5E471E6E"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465CAE7E"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12</w:t>
            </w:r>
          </w:p>
        </w:tc>
        <w:tc>
          <w:tcPr>
            <w:tcW w:w="6628" w:type="dxa"/>
            <w:shd w:val="clear" w:color="auto" w:fill="FFEFEF"/>
            <w:noWrap/>
            <w:hideMark/>
          </w:tcPr>
          <w:p w14:paraId="6C9F046B"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 des terres dégradées</w:t>
            </w:r>
          </w:p>
        </w:tc>
        <w:tc>
          <w:tcPr>
            <w:tcW w:w="1460" w:type="dxa"/>
            <w:shd w:val="clear" w:color="auto" w:fill="FFF2CC" w:themeFill="accent4" w:themeFillTint="33"/>
            <w:hideMark/>
          </w:tcPr>
          <w:p w14:paraId="2B79653F"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DNA/DNEF</w:t>
            </w:r>
          </w:p>
        </w:tc>
        <w:tc>
          <w:tcPr>
            <w:tcW w:w="1549" w:type="dxa"/>
          </w:tcPr>
          <w:p w14:paraId="6B2DFCC6"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3A9C3F93"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69674E61"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13</w:t>
            </w:r>
          </w:p>
        </w:tc>
        <w:tc>
          <w:tcPr>
            <w:tcW w:w="6628" w:type="dxa"/>
            <w:shd w:val="clear" w:color="auto" w:fill="FFDDDD"/>
            <w:noWrap/>
            <w:hideMark/>
          </w:tcPr>
          <w:p w14:paraId="3B36D913"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 des jachères</w:t>
            </w:r>
          </w:p>
        </w:tc>
        <w:tc>
          <w:tcPr>
            <w:tcW w:w="1460" w:type="dxa"/>
            <w:shd w:val="clear" w:color="auto" w:fill="FFE599" w:themeFill="accent4" w:themeFillTint="66"/>
            <w:hideMark/>
          </w:tcPr>
          <w:p w14:paraId="42326EB7"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DNA/DNEF</w:t>
            </w:r>
          </w:p>
        </w:tc>
        <w:tc>
          <w:tcPr>
            <w:tcW w:w="1549" w:type="dxa"/>
          </w:tcPr>
          <w:p w14:paraId="23CE40E4"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ODD12</w:t>
            </w:r>
          </w:p>
        </w:tc>
      </w:tr>
      <w:tr w:rsidR="00C03EC4" w:rsidRPr="002E75D4" w14:paraId="3E856124"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173FAE97"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14</w:t>
            </w:r>
          </w:p>
        </w:tc>
        <w:tc>
          <w:tcPr>
            <w:tcW w:w="6628" w:type="dxa"/>
            <w:shd w:val="clear" w:color="auto" w:fill="FFEFEF"/>
            <w:noWrap/>
            <w:hideMark/>
          </w:tcPr>
          <w:p w14:paraId="0119959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 xml:space="preserve">Taux d’accroissement du parc de véhicules routiers </w:t>
            </w:r>
          </w:p>
        </w:tc>
        <w:tc>
          <w:tcPr>
            <w:tcW w:w="1460" w:type="dxa"/>
            <w:shd w:val="clear" w:color="auto" w:fill="FFF2CC" w:themeFill="accent4" w:themeFillTint="33"/>
            <w:hideMark/>
          </w:tcPr>
          <w:p w14:paraId="4D8BDD27"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DNTTMF/OT</w:t>
            </w:r>
          </w:p>
        </w:tc>
        <w:tc>
          <w:tcPr>
            <w:tcW w:w="1549" w:type="dxa"/>
          </w:tcPr>
          <w:p w14:paraId="09AFF637"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ODD12</w:t>
            </w:r>
          </w:p>
        </w:tc>
      </w:tr>
      <w:tr w:rsidR="00C03EC4" w:rsidRPr="002E75D4" w14:paraId="19EC1E3E"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1DEC6EA8"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15</w:t>
            </w:r>
          </w:p>
        </w:tc>
        <w:tc>
          <w:tcPr>
            <w:tcW w:w="6628" w:type="dxa"/>
            <w:shd w:val="clear" w:color="auto" w:fill="FFDDDD"/>
            <w:noWrap/>
            <w:hideMark/>
          </w:tcPr>
          <w:p w14:paraId="125DEEF0"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 de zones défrichées/an</w:t>
            </w:r>
          </w:p>
        </w:tc>
        <w:tc>
          <w:tcPr>
            <w:tcW w:w="1460" w:type="dxa"/>
            <w:shd w:val="clear" w:color="auto" w:fill="FFE599" w:themeFill="accent4" w:themeFillTint="66"/>
            <w:hideMark/>
          </w:tcPr>
          <w:p w14:paraId="38A420BD"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DNEF/SIFOR</w:t>
            </w:r>
          </w:p>
        </w:tc>
        <w:tc>
          <w:tcPr>
            <w:tcW w:w="1549" w:type="dxa"/>
          </w:tcPr>
          <w:p w14:paraId="0B88CB4E"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7F8AFE6C"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1250FF20"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16</w:t>
            </w:r>
          </w:p>
        </w:tc>
        <w:tc>
          <w:tcPr>
            <w:tcW w:w="6628" w:type="dxa"/>
            <w:shd w:val="clear" w:color="auto" w:fill="FFEFEF"/>
            <w:noWrap/>
            <w:hideMark/>
          </w:tcPr>
          <w:p w14:paraId="485836DB"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Taux de couverture forestière du pays</w:t>
            </w:r>
          </w:p>
        </w:tc>
        <w:tc>
          <w:tcPr>
            <w:tcW w:w="1460" w:type="dxa"/>
            <w:shd w:val="clear" w:color="auto" w:fill="FFF2CC" w:themeFill="accent4" w:themeFillTint="33"/>
            <w:hideMark/>
          </w:tcPr>
          <w:p w14:paraId="7B3D4D4A"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DNEF/SIFOR</w:t>
            </w:r>
          </w:p>
        </w:tc>
        <w:tc>
          <w:tcPr>
            <w:tcW w:w="1549" w:type="dxa"/>
          </w:tcPr>
          <w:p w14:paraId="79CB1900"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42867A29"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124F64F5"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17</w:t>
            </w:r>
          </w:p>
        </w:tc>
        <w:tc>
          <w:tcPr>
            <w:tcW w:w="6628" w:type="dxa"/>
            <w:shd w:val="clear" w:color="auto" w:fill="FFDDDD"/>
            <w:noWrap/>
            <w:hideMark/>
          </w:tcPr>
          <w:p w14:paraId="0AE0B7E4"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Superficies brulées par les feux de brousse</w:t>
            </w:r>
          </w:p>
        </w:tc>
        <w:tc>
          <w:tcPr>
            <w:tcW w:w="1460" w:type="dxa"/>
            <w:shd w:val="clear" w:color="auto" w:fill="FFE599" w:themeFill="accent4" w:themeFillTint="66"/>
            <w:hideMark/>
          </w:tcPr>
          <w:p w14:paraId="69FB51BC"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DNEF/SIFOR</w:t>
            </w:r>
          </w:p>
        </w:tc>
        <w:tc>
          <w:tcPr>
            <w:tcW w:w="1549" w:type="dxa"/>
          </w:tcPr>
          <w:p w14:paraId="697B8411"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23EE5993"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3C0945A5"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18</w:t>
            </w:r>
          </w:p>
        </w:tc>
        <w:tc>
          <w:tcPr>
            <w:tcW w:w="6628" w:type="dxa"/>
            <w:shd w:val="clear" w:color="auto" w:fill="FFEFEF"/>
            <w:noWrap/>
            <w:hideMark/>
          </w:tcPr>
          <w:p w14:paraId="4AC1A11C"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Production ligneuse des formations boisées</w:t>
            </w:r>
          </w:p>
        </w:tc>
        <w:tc>
          <w:tcPr>
            <w:tcW w:w="1460" w:type="dxa"/>
            <w:shd w:val="clear" w:color="auto" w:fill="FFF2CC" w:themeFill="accent4" w:themeFillTint="33"/>
            <w:hideMark/>
          </w:tcPr>
          <w:p w14:paraId="014E84AB"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DNEF/SIFOR</w:t>
            </w:r>
          </w:p>
        </w:tc>
        <w:tc>
          <w:tcPr>
            <w:tcW w:w="1549" w:type="dxa"/>
          </w:tcPr>
          <w:p w14:paraId="3C44514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22BCE192"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09EF205E"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19</w:t>
            </w:r>
          </w:p>
        </w:tc>
        <w:tc>
          <w:tcPr>
            <w:tcW w:w="6628" w:type="dxa"/>
            <w:shd w:val="clear" w:color="auto" w:fill="FFDDDD"/>
            <w:noWrap/>
            <w:hideMark/>
          </w:tcPr>
          <w:p w14:paraId="35B95FF6"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Superficies reboisées</w:t>
            </w:r>
          </w:p>
        </w:tc>
        <w:tc>
          <w:tcPr>
            <w:tcW w:w="1460" w:type="dxa"/>
            <w:shd w:val="clear" w:color="auto" w:fill="FFE599" w:themeFill="accent4" w:themeFillTint="66"/>
            <w:hideMark/>
          </w:tcPr>
          <w:p w14:paraId="23A3217B"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DNEF/SIFOR</w:t>
            </w:r>
          </w:p>
        </w:tc>
        <w:tc>
          <w:tcPr>
            <w:tcW w:w="1549" w:type="dxa"/>
          </w:tcPr>
          <w:p w14:paraId="44483F9A"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7A956633"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432663B9"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20</w:t>
            </w:r>
          </w:p>
        </w:tc>
        <w:tc>
          <w:tcPr>
            <w:tcW w:w="6628" w:type="dxa"/>
            <w:shd w:val="clear" w:color="auto" w:fill="FFEFEF"/>
            <w:noWrap/>
            <w:hideMark/>
          </w:tcPr>
          <w:p w14:paraId="32CC873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 des forêts classées et des aires protégées</w:t>
            </w:r>
          </w:p>
        </w:tc>
        <w:tc>
          <w:tcPr>
            <w:tcW w:w="1460" w:type="dxa"/>
            <w:shd w:val="clear" w:color="auto" w:fill="FFF2CC" w:themeFill="accent4" w:themeFillTint="33"/>
            <w:hideMark/>
          </w:tcPr>
          <w:p w14:paraId="6B6B84F1"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DNEF/SIFOR</w:t>
            </w:r>
          </w:p>
        </w:tc>
        <w:tc>
          <w:tcPr>
            <w:tcW w:w="1549" w:type="dxa"/>
          </w:tcPr>
          <w:p w14:paraId="16D81474"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18887CF8"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507EBE58"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21</w:t>
            </w:r>
          </w:p>
        </w:tc>
        <w:tc>
          <w:tcPr>
            <w:tcW w:w="6628" w:type="dxa"/>
            <w:shd w:val="clear" w:color="auto" w:fill="FFDDDD"/>
            <w:noWrap/>
            <w:hideMark/>
          </w:tcPr>
          <w:p w14:paraId="29590DB6"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Consommation nationale du bois énergie</w:t>
            </w:r>
          </w:p>
        </w:tc>
        <w:tc>
          <w:tcPr>
            <w:tcW w:w="1460" w:type="dxa"/>
            <w:shd w:val="clear" w:color="auto" w:fill="FFE599" w:themeFill="accent4" w:themeFillTint="66"/>
            <w:hideMark/>
          </w:tcPr>
          <w:p w14:paraId="586FCD7E"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DNEF/DNE</w:t>
            </w:r>
          </w:p>
        </w:tc>
        <w:tc>
          <w:tcPr>
            <w:tcW w:w="1549" w:type="dxa"/>
          </w:tcPr>
          <w:p w14:paraId="542B3476"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ODD12</w:t>
            </w:r>
          </w:p>
        </w:tc>
      </w:tr>
      <w:tr w:rsidR="00C03EC4" w:rsidRPr="002E75D4" w14:paraId="7A351B23"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472EF15D"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22</w:t>
            </w:r>
          </w:p>
        </w:tc>
        <w:tc>
          <w:tcPr>
            <w:tcW w:w="6628" w:type="dxa"/>
            <w:shd w:val="clear" w:color="auto" w:fill="FFEFEF"/>
            <w:noWrap/>
            <w:hideMark/>
          </w:tcPr>
          <w:p w14:paraId="6EEE4A42"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 des Formations Forestières par Région</w:t>
            </w:r>
          </w:p>
        </w:tc>
        <w:tc>
          <w:tcPr>
            <w:tcW w:w="1460" w:type="dxa"/>
            <w:shd w:val="clear" w:color="auto" w:fill="FFF2CC" w:themeFill="accent4" w:themeFillTint="33"/>
            <w:hideMark/>
          </w:tcPr>
          <w:p w14:paraId="46A3BF23"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DNEF</w:t>
            </w:r>
          </w:p>
        </w:tc>
        <w:tc>
          <w:tcPr>
            <w:tcW w:w="1549" w:type="dxa"/>
          </w:tcPr>
          <w:p w14:paraId="12E8709E"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132CF282"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625F0154"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23</w:t>
            </w:r>
          </w:p>
        </w:tc>
        <w:tc>
          <w:tcPr>
            <w:tcW w:w="6628" w:type="dxa"/>
            <w:shd w:val="clear" w:color="auto" w:fill="FFDDDD"/>
            <w:noWrap/>
            <w:hideMark/>
          </w:tcPr>
          <w:p w14:paraId="71C2D7D8"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 des espaces pastoraux aménagée</w:t>
            </w:r>
          </w:p>
        </w:tc>
        <w:tc>
          <w:tcPr>
            <w:tcW w:w="1460" w:type="dxa"/>
            <w:shd w:val="clear" w:color="auto" w:fill="FFE599" w:themeFill="accent4" w:themeFillTint="66"/>
            <w:hideMark/>
          </w:tcPr>
          <w:p w14:paraId="5ADF5BA0"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DNPIA</w:t>
            </w:r>
          </w:p>
        </w:tc>
        <w:tc>
          <w:tcPr>
            <w:tcW w:w="1549" w:type="dxa"/>
          </w:tcPr>
          <w:p w14:paraId="45CAE12A"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096CDEAA"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3E602E6F"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24</w:t>
            </w:r>
          </w:p>
        </w:tc>
        <w:tc>
          <w:tcPr>
            <w:tcW w:w="6628" w:type="dxa"/>
            <w:shd w:val="clear" w:color="auto" w:fill="FFEFEF"/>
            <w:noWrap/>
            <w:hideMark/>
          </w:tcPr>
          <w:p w14:paraId="0AE21D90"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 xml:space="preserve">Effectif du cheptel  </w:t>
            </w:r>
          </w:p>
        </w:tc>
        <w:tc>
          <w:tcPr>
            <w:tcW w:w="1460" w:type="dxa"/>
            <w:shd w:val="clear" w:color="auto" w:fill="FFF2CC" w:themeFill="accent4" w:themeFillTint="33"/>
            <w:hideMark/>
          </w:tcPr>
          <w:p w14:paraId="1F94CA7F"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DNPIA</w:t>
            </w:r>
          </w:p>
        </w:tc>
        <w:tc>
          <w:tcPr>
            <w:tcW w:w="1549" w:type="dxa"/>
          </w:tcPr>
          <w:p w14:paraId="2A2931EB"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7B6EE66F"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30A6CE84"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25</w:t>
            </w:r>
          </w:p>
        </w:tc>
        <w:tc>
          <w:tcPr>
            <w:tcW w:w="6628" w:type="dxa"/>
            <w:shd w:val="clear" w:color="auto" w:fill="FFDDDD"/>
            <w:noWrap/>
          </w:tcPr>
          <w:p w14:paraId="0A4D5E9F"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Longueur des pistes de transhumance balisées et/réhabilitées (km)</w:t>
            </w:r>
          </w:p>
        </w:tc>
        <w:tc>
          <w:tcPr>
            <w:tcW w:w="1460" w:type="dxa"/>
            <w:shd w:val="clear" w:color="auto" w:fill="FFE599" w:themeFill="accent4" w:themeFillTint="66"/>
          </w:tcPr>
          <w:p w14:paraId="5533A3DF"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DNPIA</w:t>
            </w:r>
          </w:p>
        </w:tc>
        <w:tc>
          <w:tcPr>
            <w:tcW w:w="1549" w:type="dxa"/>
          </w:tcPr>
          <w:p w14:paraId="39227F00"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09C8173A"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688B1C72"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26</w:t>
            </w:r>
          </w:p>
        </w:tc>
        <w:tc>
          <w:tcPr>
            <w:tcW w:w="6628" w:type="dxa"/>
            <w:shd w:val="clear" w:color="auto" w:fill="FFEFEF"/>
            <w:noWrap/>
          </w:tcPr>
          <w:p w14:paraId="3BCF1F7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Superficie emblavée en cultures fourragères (ha)</w:t>
            </w:r>
          </w:p>
        </w:tc>
        <w:tc>
          <w:tcPr>
            <w:tcW w:w="1460" w:type="dxa"/>
            <w:shd w:val="clear" w:color="auto" w:fill="FFF2CC" w:themeFill="accent4" w:themeFillTint="33"/>
          </w:tcPr>
          <w:p w14:paraId="13F6570C"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DNPIA</w:t>
            </w:r>
          </w:p>
        </w:tc>
        <w:tc>
          <w:tcPr>
            <w:tcW w:w="1549" w:type="dxa"/>
          </w:tcPr>
          <w:p w14:paraId="6C7619C9"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15</w:t>
            </w:r>
          </w:p>
        </w:tc>
      </w:tr>
      <w:tr w:rsidR="00C03EC4" w:rsidRPr="002E75D4" w14:paraId="773504FB"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5C2FD26D"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27</w:t>
            </w:r>
          </w:p>
        </w:tc>
        <w:tc>
          <w:tcPr>
            <w:tcW w:w="6628" w:type="dxa"/>
            <w:shd w:val="clear" w:color="auto" w:fill="FFDDDD"/>
            <w:noWrap/>
            <w:hideMark/>
          </w:tcPr>
          <w:p w14:paraId="31A88EF1"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Quantité d'eaux usées traitée</w:t>
            </w:r>
          </w:p>
        </w:tc>
        <w:tc>
          <w:tcPr>
            <w:tcW w:w="1460" w:type="dxa"/>
            <w:shd w:val="clear" w:color="auto" w:fill="FFE599" w:themeFill="accent4" w:themeFillTint="66"/>
            <w:hideMark/>
          </w:tcPr>
          <w:p w14:paraId="2A808A3F"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ANGESEM</w:t>
            </w:r>
          </w:p>
        </w:tc>
        <w:tc>
          <w:tcPr>
            <w:tcW w:w="1549" w:type="dxa"/>
          </w:tcPr>
          <w:p w14:paraId="20444C6F"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 6 et ODD12 :</w:t>
            </w:r>
          </w:p>
        </w:tc>
      </w:tr>
      <w:tr w:rsidR="00C03EC4" w:rsidRPr="002E75D4" w14:paraId="6E23E43E"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480CF609"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28</w:t>
            </w:r>
          </w:p>
        </w:tc>
        <w:tc>
          <w:tcPr>
            <w:tcW w:w="6628" w:type="dxa"/>
            <w:shd w:val="clear" w:color="auto" w:fill="FFEFEF"/>
            <w:noWrap/>
            <w:hideMark/>
          </w:tcPr>
          <w:p w14:paraId="3447A3FE"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Emission annuelle de CO2 par habitant</w:t>
            </w:r>
          </w:p>
        </w:tc>
        <w:tc>
          <w:tcPr>
            <w:tcW w:w="1460" w:type="dxa"/>
            <w:shd w:val="clear" w:color="auto" w:fill="FFF2CC" w:themeFill="accent4" w:themeFillTint="33"/>
            <w:hideMark/>
          </w:tcPr>
          <w:p w14:paraId="3B6B1041"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AEDD-</w:t>
            </w:r>
          </w:p>
        </w:tc>
        <w:tc>
          <w:tcPr>
            <w:tcW w:w="1549" w:type="dxa"/>
          </w:tcPr>
          <w:p w14:paraId="155B644F"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ODD13/ ODD 8</w:t>
            </w:r>
          </w:p>
        </w:tc>
      </w:tr>
      <w:tr w:rsidR="00C03EC4" w:rsidRPr="002E75D4" w14:paraId="753D962D"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71F80B8B"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29</w:t>
            </w:r>
          </w:p>
        </w:tc>
        <w:tc>
          <w:tcPr>
            <w:tcW w:w="6628" w:type="dxa"/>
            <w:shd w:val="clear" w:color="auto" w:fill="FFDDDD"/>
            <w:noWrap/>
            <w:hideMark/>
          </w:tcPr>
          <w:p w14:paraId="53DFB86C"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Emission annuelle de CH4 par habitant</w:t>
            </w:r>
          </w:p>
        </w:tc>
        <w:tc>
          <w:tcPr>
            <w:tcW w:w="1460" w:type="dxa"/>
            <w:shd w:val="clear" w:color="auto" w:fill="FFE599" w:themeFill="accent4" w:themeFillTint="66"/>
            <w:hideMark/>
          </w:tcPr>
          <w:p w14:paraId="48B2FAD9"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AEDD</w:t>
            </w:r>
          </w:p>
        </w:tc>
        <w:tc>
          <w:tcPr>
            <w:tcW w:w="1549" w:type="dxa"/>
          </w:tcPr>
          <w:p w14:paraId="154E3B17"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ODD13</w:t>
            </w:r>
          </w:p>
        </w:tc>
      </w:tr>
      <w:tr w:rsidR="00C03EC4" w:rsidRPr="002E75D4" w14:paraId="4EEE1B25"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10072" w:type="dxa"/>
            <w:gridSpan w:val="4"/>
            <w:shd w:val="clear" w:color="auto" w:fill="5B9BD5" w:themeFill="accent5"/>
          </w:tcPr>
          <w:p w14:paraId="56B73EB9" w14:textId="77777777" w:rsidR="00C03EC4" w:rsidRPr="002E75D4" w:rsidRDefault="00C03EC4" w:rsidP="000D6136">
            <w:pPr>
              <w:jc w:val="center"/>
              <w:rPr>
                <w:rFonts w:asciiTheme="majorHAnsi" w:hAnsiTheme="majorHAnsi" w:cstheme="majorHAnsi"/>
                <w:color w:val="auto"/>
              </w:rPr>
            </w:pPr>
            <w:r w:rsidRPr="002E75D4">
              <w:rPr>
                <w:rFonts w:asciiTheme="majorHAnsi" w:hAnsiTheme="majorHAnsi" w:cstheme="majorHAnsi"/>
                <w:color w:val="auto"/>
              </w:rPr>
              <w:t>Indicateurs de fonctionnement général et de suivi de la CDN</w:t>
            </w:r>
          </w:p>
        </w:tc>
      </w:tr>
      <w:tr w:rsidR="00C03EC4" w:rsidRPr="002E75D4" w14:paraId="47854692"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1F942F6A"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28</w:t>
            </w:r>
          </w:p>
        </w:tc>
        <w:tc>
          <w:tcPr>
            <w:tcW w:w="6628" w:type="dxa"/>
            <w:shd w:val="clear" w:color="auto" w:fill="FFDDDD"/>
            <w:noWrap/>
          </w:tcPr>
          <w:p w14:paraId="12EBA83D"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Evaluation périodique des émissions de gaz à effet de serre en regard des prévisions de la CDN</w:t>
            </w:r>
          </w:p>
        </w:tc>
        <w:tc>
          <w:tcPr>
            <w:tcW w:w="1460" w:type="dxa"/>
            <w:shd w:val="clear" w:color="auto" w:fill="FFE599" w:themeFill="accent4" w:themeFillTint="66"/>
          </w:tcPr>
          <w:p w14:paraId="75A1DE82"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AEDD</w:t>
            </w:r>
          </w:p>
        </w:tc>
        <w:tc>
          <w:tcPr>
            <w:tcW w:w="1549" w:type="dxa"/>
          </w:tcPr>
          <w:p w14:paraId="5DE223D3"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ODD17/ ODD 16</w:t>
            </w:r>
          </w:p>
        </w:tc>
      </w:tr>
      <w:tr w:rsidR="00C03EC4" w:rsidRPr="002E75D4" w14:paraId="4335F3D6" w14:textId="77777777" w:rsidTr="000D6136">
        <w:trPr>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DDDD"/>
          </w:tcPr>
          <w:p w14:paraId="5EF11E9D"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29</w:t>
            </w:r>
          </w:p>
        </w:tc>
        <w:tc>
          <w:tcPr>
            <w:tcW w:w="6628" w:type="dxa"/>
            <w:shd w:val="clear" w:color="auto" w:fill="FFEFEF"/>
            <w:noWrap/>
          </w:tcPr>
          <w:p w14:paraId="63304320"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Evaluation périodique de l’état d’avancement des projets relevant de la CDN en regard de leur programmation</w:t>
            </w:r>
          </w:p>
        </w:tc>
        <w:tc>
          <w:tcPr>
            <w:tcW w:w="1460" w:type="dxa"/>
            <w:shd w:val="clear" w:color="auto" w:fill="FFF2CC" w:themeFill="accent4" w:themeFillTint="33"/>
          </w:tcPr>
          <w:p w14:paraId="4D8C1783" w14:textId="77777777" w:rsidR="00C03EC4" w:rsidRPr="002E75D4" w:rsidRDefault="00C03EC4" w:rsidP="000D6136">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AEDD</w:t>
            </w:r>
          </w:p>
        </w:tc>
        <w:tc>
          <w:tcPr>
            <w:tcW w:w="1549" w:type="dxa"/>
          </w:tcPr>
          <w:p w14:paraId="126EE438"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ODD17/ ODD 16</w:t>
            </w:r>
          </w:p>
        </w:tc>
      </w:tr>
      <w:tr w:rsidR="00C03EC4" w:rsidRPr="002E75D4" w14:paraId="0CEF7569" w14:textId="77777777" w:rsidTr="000D613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 w:type="dxa"/>
            <w:shd w:val="clear" w:color="auto" w:fill="FFEFEF"/>
          </w:tcPr>
          <w:p w14:paraId="07D83B20" w14:textId="77777777" w:rsidR="00C03EC4" w:rsidRPr="002E75D4" w:rsidRDefault="00C03EC4" w:rsidP="000D6136">
            <w:pPr>
              <w:jc w:val="both"/>
              <w:rPr>
                <w:rFonts w:asciiTheme="majorHAnsi" w:hAnsiTheme="majorHAnsi" w:cstheme="majorHAnsi"/>
                <w:color w:val="auto"/>
              </w:rPr>
            </w:pPr>
            <w:r w:rsidRPr="002E75D4">
              <w:rPr>
                <w:rFonts w:asciiTheme="majorHAnsi" w:hAnsiTheme="majorHAnsi" w:cstheme="majorHAnsi"/>
                <w:color w:val="auto"/>
              </w:rPr>
              <w:t>30</w:t>
            </w:r>
          </w:p>
        </w:tc>
        <w:tc>
          <w:tcPr>
            <w:tcW w:w="6628" w:type="dxa"/>
            <w:shd w:val="clear" w:color="auto" w:fill="FFDDDD"/>
            <w:noWrap/>
          </w:tcPr>
          <w:p w14:paraId="0D610110"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Evaluation périodique des financements de la CDN par l’Etat, les bailleurs de fonds et la finance climat</w:t>
            </w:r>
          </w:p>
        </w:tc>
        <w:tc>
          <w:tcPr>
            <w:tcW w:w="1460" w:type="dxa"/>
            <w:shd w:val="clear" w:color="auto" w:fill="FFE599" w:themeFill="accent4" w:themeFillTint="66"/>
          </w:tcPr>
          <w:p w14:paraId="5D726C65" w14:textId="77777777" w:rsidR="00C03EC4" w:rsidRPr="002E75D4" w:rsidRDefault="00C03EC4" w:rsidP="000D6136">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1549" w:type="dxa"/>
          </w:tcPr>
          <w:p w14:paraId="09B557A1"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ODD17/ ODD 16</w:t>
            </w:r>
          </w:p>
        </w:tc>
      </w:tr>
    </w:tbl>
    <w:p w14:paraId="59780047" w14:textId="77777777" w:rsidR="00C03EC4" w:rsidRPr="002E75D4" w:rsidRDefault="00C03EC4" w:rsidP="00C03EC4">
      <w:pPr>
        <w:spacing w:after="0"/>
        <w:jc w:val="both"/>
        <w:rPr>
          <w:rFonts w:asciiTheme="majorHAnsi" w:hAnsiTheme="majorHAnsi" w:cstheme="majorHAnsi"/>
          <w:sz w:val="24"/>
          <w:szCs w:val="24"/>
        </w:rPr>
      </w:pPr>
    </w:p>
    <w:p w14:paraId="6BAF9A67" w14:textId="77777777" w:rsidR="00C03EC4" w:rsidRPr="002E75D4" w:rsidRDefault="00C03EC4" w:rsidP="00C03EC4">
      <w:p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Ces indicateurs devront être analysés au crible des caractéristiques requises pour les indicateurs par la communauté scientifique internationale, notamment :</w:t>
      </w:r>
    </w:p>
    <w:p w14:paraId="4AC34FDD" w14:textId="77777777" w:rsidR="00C03EC4" w:rsidRPr="002E75D4" w:rsidRDefault="00C03EC4" w:rsidP="00C03EC4">
      <w:pPr>
        <w:pStyle w:val="Paragraphedeliste"/>
        <w:numPr>
          <w:ilvl w:val="0"/>
          <w:numId w:val="60"/>
        </w:num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leur typologie dans le modèle Pression – Etat – Réponse et complémentairement celui des indicateurs d’impact ;</w:t>
      </w:r>
    </w:p>
    <w:p w14:paraId="41DBA13C" w14:textId="77777777" w:rsidR="00C03EC4" w:rsidRPr="002E75D4" w:rsidRDefault="00C03EC4" w:rsidP="00C03EC4">
      <w:pPr>
        <w:pStyle w:val="Paragraphedeliste"/>
        <w:numPr>
          <w:ilvl w:val="0"/>
          <w:numId w:val="60"/>
        </w:numPr>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respect des critères SMART par ces indicateurs ;</w:t>
      </w:r>
    </w:p>
    <w:p w14:paraId="21C54D5F" w14:textId="77777777" w:rsidR="00C03EC4" w:rsidRPr="002E75D4" w:rsidRDefault="00C03EC4" w:rsidP="00C03EC4">
      <w:pPr>
        <w:pStyle w:val="Paragraphedeliste"/>
        <w:numPr>
          <w:ilvl w:val="0"/>
          <w:numId w:val="60"/>
        </w:numPr>
        <w:autoSpaceDE w:val="0"/>
        <w:autoSpaceDN w:val="0"/>
        <w:adjustRightInd w:val="0"/>
        <w:spacing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fait qu’ils soient faciles à renseigner et n’entrainant pas de surcoût notable</w:t>
      </w:r>
    </w:p>
    <w:p w14:paraId="2935EF6F" w14:textId="77777777" w:rsidR="00C03EC4" w:rsidRPr="002E75D4" w:rsidRDefault="00C03EC4" w:rsidP="00C03EC4">
      <w:pPr>
        <w:spacing w:before="120" w:after="0" w:line="240" w:lineRule="auto"/>
        <w:ind w:right="-79"/>
        <w:jc w:val="both"/>
        <w:rPr>
          <w:rFonts w:asciiTheme="majorHAnsi" w:hAnsiTheme="majorHAnsi" w:cstheme="majorHAnsi"/>
          <w:sz w:val="24"/>
          <w:szCs w:val="24"/>
        </w:rPr>
      </w:pPr>
      <w:r w:rsidRPr="002E75D4">
        <w:rPr>
          <w:rFonts w:asciiTheme="majorHAnsi" w:hAnsiTheme="majorHAnsi" w:cstheme="majorHAnsi"/>
          <w:sz w:val="24"/>
          <w:szCs w:val="24"/>
        </w:rPr>
        <w:t>Les indicateurs relatifs à l’égalité du genre et l’autonomisation des femmes seront détaillés dans la Feuille de Route et seront articulés entre autres sur les aspects suivants :</w:t>
      </w:r>
    </w:p>
    <w:p w14:paraId="152F3877" w14:textId="77777777" w:rsidR="00C03EC4" w:rsidRPr="002E75D4" w:rsidRDefault="00C03EC4" w:rsidP="00C03EC4">
      <w:pPr>
        <w:pStyle w:val="Paragraphedeliste"/>
        <w:numPr>
          <w:ilvl w:val="0"/>
          <w:numId w:val="14"/>
        </w:numPr>
        <w:spacing w:before="120" w:after="0" w:line="240" w:lineRule="auto"/>
        <w:ind w:right="-79"/>
        <w:jc w:val="both"/>
        <w:rPr>
          <w:rFonts w:asciiTheme="majorHAnsi" w:hAnsiTheme="majorHAnsi" w:cstheme="majorHAnsi"/>
          <w:sz w:val="24"/>
          <w:szCs w:val="24"/>
        </w:rPr>
      </w:pPr>
      <w:r w:rsidRPr="002E75D4">
        <w:rPr>
          <w:rFonts w:asciiTheme="majorHAnsi" w:hAnsiTheme="majorHAnsi" w:cstheme="majorHAnsi"/>
          <w:sz w:val="24"/>
          <w:szCs w:val="24"/>
        </w:rPr>
        <w:t xml:space="preserve">Le nombre de projets et programmes présentés dans la CDN touchant les problématiques d’adaptation ou d’atténuation visant l’égalité du genre et l’autonomisation des femmes </w:t>
      </w:r>
    </w:p>
    <w:p w14:paraId="4F95D71D" w14:textId="77777777" w:rsidR="00C03EC4" w:rsidRPr="002E75D4" w:rsidRDefault="00C03EC4" w:rsidP="00C03EC4">
      <w:pPr>
        <w:pStyle w:val="Paragraphedeliste"/>
        <w:numPr>
          <w:ilvl w:val="0"/>
          <w:numId w:val="14"/>
        </w:numPr>
        <w:autoSpaceDE w:val="0"/>
        <w:autoSpaceDN w:val="0"/>
        <w:adjustRightInd w:val="0"/>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Les impacts qualitatifs et quantitatifs différenciés sur les hommes et les femmes des programmes réalisés dans le cadre de la CDN</w:t>
      </w:r>
    </w:p>
    <w:p w14:paraId="426A61FB" w14:textId="77777777" w:rsidR="00C03EC4" w:rsidRPr="002E75D4" w:rsidRDefault="00C03EC4" w:rsidP="00C03EC4">
      <w:pPr>
        <w:pStyle w:val="Paragraphedeliste"/>
        <w:numPr>
          <w:ilvl w:val="0"/>
          <w:numId w:val="14"/>
        </w:numPr>
        <w:autoSpaceDE w:val="0"/>
        <w:autoSpaceDN w:val="0"/>
        <w:adjustRightInd w:val="0"/>
        <w:spacing w:before="120" w:after="0" w:line="240" w:lineRule="auto"/>
        <w:jc w:val="both"/>
        <w:rPr>
          <w:rFonts w:asciiTheme="majorHAnsi" w:hAnsiTheme="majorHAnsi" w:cstheme="majorHAnsi"/>
          <w:sz w:val="24"/>
          <w:szCs w:val="24"/>
        </w:rPr>
      </w:pPr>
      <w:r w:rsidRPr="002E75D4">
        <w:rPr>
          <w:rFonts w:asciiTheme="majorHAnsi" w:hAnsiTheme="majorHAnsi" w:cstheme="majorHAnsi"/>
          <w:sz w:val="24"/>
          <w:szCs w:val="24"/>
        </w:rPr>
        <w:t>Le pourcentage des femmes occupant des postes de leadership dans la gestion globale de la CDN les projets sectoriels d’atténuation ou d’adaptation changements climatiques ;</w:t>
      </w:r>
    </w:p>
    <w:p w14:paraId="063DA9FC" w14:textId="77777777" w:rsidR="00C03EC4" w:rsidRPr="002E75D4" w:rsidRDefault="00C03EC4" w:rsidP="00C03EC4">
      <w:pPr>
        <w:spacing w:before="120" w:after="0" w:line="240" w:lineRule="auto"/>
        <w:ind w:right="-79"/>
        <w:jc w:val="both"/>
        <w:rPr>
          <w:rFonts w:asciiTheme="majorHAnsi" w:hAnsiTheme="majorHAnsi" w:cstheme="majorHAnsi"/>
          <w:sz w:val="24"/>
          <w:szCs w:val="24"/>
        </w:rPr>
      </w:pPr>
      <w:r w:rsidRPr="002E75D4">
        <w:rPr>
          <w:rFonts w:asciiTheme="majorHAnsi" w:hAnsiTheme="majorHAnsi" w:cstheme="majorHAnsi"/>
          <w:sz w:val="24"/>
          <w:szCs w:val="24"/>
        </w:rPr>
        <w:t xml:space="preserve">La gestion des changements climatiques dans le cadre de la mise en œuvre de la Contribution du Mali à l’accord de Paris et du suivi des communications nationales périodiques sur l’émission des gaz à effet de serre (inventaires nationaux) est déjà prise en compte par des programmes nationaux appuyés par les Nations Unies : Troisième communication (qui sera suivie d’une quatrième) et BUR. Ces programmes, qui sont gérés par l’AEDD, suivent les recommandations du GIEC. L’information sur le suivi des émissions de GES existe mais pas forcément dans un format compatible avec le SNGIE. Cette mise au format pourrait se faire par la création d’un nouveau Système de suivi des émissions de gaz à effet de serre en symbiose avec le futur MRV Climat puis par le MRV national lorsqu’il sera créé. </w:t>
      </w:r>
    </w:p>
    <w:p w14:paraId="06AEED2F" w14:textId="77777777" w:rsidR="00C03EC4" w:rsidRPr="002E75D4" w:rsidRDefault="00C03EC4" w:rsidP="00C03EC4">
      <w:pPr>
        <w:spacing w:before="120" w:after="0" w:line="240" w:lineRule="auto"/>
        <w:ind w:right="-79"/>
        <w:jc w:val="both"/>
        <w:rPr>
          <w:rFonts w:asciiTheme="majorHAnsi" w:hAnsiTheme="majorHAnsi" w:cstheme="majorHAnsi"/>
        </w:rPr>
      </w:pPr>
      <w:r w:rsidRPr="002E75D4">
        <w:rPr>
          <w:rFonts w:asciiTheme="majorHAnsi" w:hAnsiTheme="majorHAnsi" w:cstheme="majorHAnsi"/>
          <w:sz w:val="24"/>
          <w:szCs w:val="24"/>
        </w:rPr>
        <w:t xml:space="preserve">Ce système pourrait de plus gérer des modules spécifiques par exemple sur le plan régional ou sur le plan sectoriel (énergie, développement rural, forêts et changements d’affectation des terres ...). </w:t>
      </w:r>
    </w:p>
    <w:p w14:paraId="7FCDE63B" w14:textId="77777777" w:rsidR="00C03EC4" w:rsidRPr="002E75D4" w:rsidRDefault="00C03EC4" w:rsidP="00C03EC4">
      <w:pPr>
        <w:spacing w:before="120" w:after="0" w:line="240" w:lineRule="auto"/>
        <w:ind w:right="-79"/>
        <w:jc w:val="both"/>
        <w:rPr>
          <w:rFonts w:asciiTheme="majorHAnsi" w:hAnsiTheme="majorHAnsi" w:cstheme="majorHAnsi"/>
        </w:rPr>
      </w:pPr>
    </w:p>
    <w:p w14:paraId="1906748D" w14:textId="77777777" w:rsidR="00C03EC4" w:rsidRPr="002E75D4" w:rsidRDefault="00C03EC4" w:rsidP="00C03EC4">
      <w:pPr>
        <w:spacing w:after="120" w:line="240" w:lineRule="auto"/>
        <w:jc w:val="both"/>
        <w:rPr>
          <w:rFonts w:asciiTheme="majorHAnsi" w:hAnsiTheme="majorHAnsi" w:cstheme="majorHAnsi"/>
          <w:sz w:val="24"/>
          <w:szCs w:val="24"/>
        </w:rPr>
      </w:pPr>
      <w:r w:rsidRPr="002E75D4">
        <w:rPr>
          <w:rFonts w:asciiTheme="majorHAnsi" w:hAnsiTheme="majorHAnsi" w:cstheme="majorHAnsi"/>
          <w:sz w:val="24"/>
          <w:szCs w:val="24"/>
        </w:rPr>
        <w:br w:type="page"/>
      </w:r>
    </w:p>
    <w:p w14:paraId="27B1F64D" w14:textId="77777777" w:rsidR="00C03EC4" w:rsidRPr="00F64F8E" w:rsidRDefault="00C03EC4" w:rsidP="00C03EC4">
      <w:pPr>
        <w:spacing w:after="120" w:line="240" w:lineRule="auto"/>
        <w:jc w:val="both"/>
        <w:rPr>
          <w:rFonts w:cstheme="majorHAnsi"/>
          <w:sz w:val="24"/>
          <w:szCs w:val="24"/>
        </w:rPr>
      </w:pPr>
      <w:r w:rsidRPr="00F64F8E">
        <w:rPr>
          <w:rFonts w:cstheme="majorHAnsi"/>
          <w:noProof/>
          <w:sz w:val="24"/>
          <w:szCs w:val="24"/>
          <w:lang w:eastAsia="fr-FR"/>
        </w:rPr>
        <w:drawing>
          <wp:anchor distT="0" distB="0" distL="114300" distR="114300" simplePos="0" relativeHeight="251672576" behindDoc="1" locked="0" layoutInCell="1" allowOverlap="1" wp14:anchorId="27CA2C38" wp14:editId="120F2309">
            <wp:simplePos x="0" y="0"/>
            <wp:positionH relativeFrom="column">
              <wp:posOffset>-727253</wp:posOffset>
            </wp:positionH>
            <wp:positionV relativeFrom="paragraph">
              <wp:posOffset>-2623185</wp:posOffset>
            </wp:positionV>
            <wp:extent cx="7564755" cy="12692380"/>
            <wp:effectExtent l="57150" t="57150" r="55245" b="52070"/>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1089_vector-background-design-red.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4755" cy="12692380"/>
                    </a:xfrm>
                    <a:prstGeom prst="rect">
                      <a:avLst/>
                    </a:prstGeom>
                    <a:solidFill>
                      <a:srgbClr val="FFFFFF">
                        <a:shade val="85000"/>
                      </a:srgbClr>
                    </a:solidFill>
                    <a:ln w="190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r w:rsidRPr="00F64F8E">
        <w:rPr>
          <w:rFonts w:eastAsia="Calibri" w:cstheme="majorHAnsi"/>
          <w:b/>
          <w:bCs/>
          <w:sz w:val="40"/>
          <w:szCs w:val="40"/>
        </w:rPr>
        <w:t>CONCLUSION</w:t>
      </w:r>
      <w:r w:rsidRPr="00F64F8E">
        <w:rPr>
          <w:rFonts w:eastAsia="Calibri" w:cstheme="majorHAnsi"/>
          <w:b/>
          <w:bCs/>
          <w:sz w:val="36"/>
          <w:szCs w:val="36"/>
        </w:rPr>
        <w:t xml:space="preserve"> </w:t>
      </w:r>
    </w:p>
    <w:p w14:paraId="7142C0D6" w14:textId="77777777" w:rsidR="00C03EC4" w:rsidRPr="002E75D4" w:rsidRDefault="00C03EC4" w:rsidP="00C03EC4">
      <w:pPr>
        <w:tabs>
          <w:tab w:val="left" w:pos="2268"/>
          <w:tab w:val="left" w:pos="2410"/>
        </w:tabs>
        <w:spacing w:after="0"/>
        <w:jc w:val="both"/>
        <w:rPr>
          <w:rFonts w:asciiTheme="majorHAnsi" w:eastAsia="Calibri" w:hAnsiTheme="majorHAnsi" w:cstheme="majorHAnsi"/>
          <w:b/>
          <w:bCs/>
          <w:sz w:val="28"/>
          <w:szCs w:val="28"/>
        </w:rPr>
      </w:pPr>
      <w:r w:rsidRPr="002E75D4">
        <w:rPr>
          <w:rFonts w:asciiTheme="majorHAnsi" w:eastAsia="Calibri" w:hAnsiTheme="majorHAnsi" w:cstheme="majorHAnsi"/>
          <w:sz w:val="28"/>
          <w:szCs w:val="28"/>
        </w:rPr>
        <w:t>Face aux défis climatiques, le Gouvernement</w:t>
      </w:r>
      <w:r>
        <w:rPr>
          <w:rFonts w:asciiTheme="majorHAnsi" w:eastAsia="Calibri" w:hAnsiTheme="majorHAnsi" w:cstheme="majorHAnsi"/>
          <w:sz w:val="28"/>
          <w:szCs w:val="28"/>
        </w:rPr>
        <w:t xml:space="preserve"> de la république</w:t>
      </w:r>
      <w:r w:rsidRPr="002E75D4">
        <w:rPr>
          <w:rFonts w:asciiTheme="majorHAnsi" w:eastAsia="Calibri" w:hAnsiTheme="majorHAnsi" w:cstheme="majorHAnsi"/>
          <w:sz w:val="28"/>
          <w:szCs w:val="28"/>
        </w:rPr>
        <w:t xml:space="preserve"> du Mali est résolu à assumer ses responsabilités par une démarche participative, de manière ambitieuse, en construisant un nouveau paradigme intégrant pleinement la dimension humaine en complément des dimensions économiques et écologiques. </w:t>
      </w:r>
    </w:p>
    <w:p w14:paraId="28ECBBEB" w14:textId="77777777" w:rsidR="00C03EC4" w:rsidRPr="002E75D4" w:rsidRDefault="00C03EC4" w:rsidP="00C03EC4">
      <w:pPr>
        <w:tabs>
          <w:tab w:val="left" w:pos="2268"/>
          <w:tab w:val="left" w:pos="2410"/>
        </w:tabs>
        <w:spacing w:after="0" w:line="240" w:lineRule="auto"/>
        <w:jc w:val="both"/>
        <w:rPr>
          <w:rFonts w:asciiTheme="majorHAnsi" w:eastAsia="Calibri" w:hAnsiTheme="majorHAnsi" w:cstheme="majorHAnsi"/>
          <w:sz w:val="28"/>
          <w:szCs w:val="28"/>
        </w:rPr>
      </w:pPr>
    </w:p>
    <w:p w14:paraId="1CF1E8AF" w14:textId="77777777" w:rsidR="00C03EC4" w:rsidRPr="002E75D4" w:rsidRDefault="00C03EC4" w:rsidP="00C03EC4">
      <w:pPr>
        <w:tabs>
          <w:tab w:val="left" w:pos="2268"/>
          <w:tab w:val="left" w:pos="2410"/>
        </w:tabs>
        <w:spacing w:after="0" w:line="240" w:lineRule="auto"/>
        <w:jc w:val="both"/>
        <w:rPr>
          <w:rFonts w:asciiTheme="majorHAnsi" w:eastAsia="Calibri" w:hAnsiTheme="majorHAnsi" w:cstheme="majorHAnsi"/>
          <w:sz w:val="28"/>
          <w:szCs w:val="28"/>
        </w:rPr>
      </w:pPr>
      <w:r w:rsidRPr="002E75D4">
        <w:rPr>
          <w:rFonts w:asciiTheme="majorHAnsi" w:eastAsia="Calibri" w:hAnsiTheme="majorHAnsi" w:cstheme="majorHAnsi"/>
          <w:sz w:val="28"/>
          <w:szCs w:val="28"/>
        </w:rPr>
        <w:t>Le Mali attend de ses partenaires qu’ils assument également leurs propres responsabilités dans le cadre de la Convention Cadre des Nations-Unies sur les Changements Climatiques. Un signal fort serait certainement une contribution significative et ambitieuse du Fonds Vert Climat et des autres outils de la finance climat.</w:t>
      </w:r>
    </w:p>
    <w:p w14:paraId="077851E7" w14:textId="77777777" w:rsidR="00C03EC4" w:rsidRPr="002E75D4" w:rsidRDefault="00C03EC4" w:rsidP="00C03EC4">
      <w:pPr>
        <w:tabs>
          <w:tab w:val="left" w:pos="2268"/>
          <w:tab w:val="left" w:pos="2410"/>
        </w:tabs>
        <w:spacing w:after="0" w:line="240" w:lineRule="auto"/>
        <w:jc w:val="both"/>
        <w:rPr>
          <w:rFonts w:asciiTheme="majorHAnsi" w:eastAsia="Calibri" w:hAnsiTheme="majorHAnsi" w:cstheme="majorHAnsi"/>
          <w:sz w:val="28"/>
          <w:szCs w:val="28"/>
        </w:rPr>
      </w:pPr>
    </w:p>
    <w:p w14:paraId="2DEAB39B" w14:textId="77777777" w:rsidR="00C03EC4" w:rsidRPr="002E75D4" w:rsidRDefault="00C03EC4" w:rsidP="00C03EC4">
      <w:pPr>
        <w:tabs>
          <w:tab w:val="left" w:pos="2268"/>
          <w:tab w:val="left" w:pos="2410"/>
        </w:tabs>
        <w:spacing w:after="0" w:line="240" w:lineRule="auto"/>
        <w:jc w:val="both"/>
        <w:rPr>
          <w:rFonts w:asciiTheme="majorHAnsi" w:eastAsia="Calibri" w:hAnsiTheme="majorHAnsi" w:cstheme="majorHAnsi"/>
          <w:sz w:val="28"/>
          <w:szCs w:val="28"/>
        </w:rPr>
      </w:pPr>
      <w:r w:rsidRPr="002E75D4">
        <w:rPr>
          <w:rFonts w:asciiTheme="majorHAnsi" w:eastAsia="Calibri" w:hAnsiTheme="majorHAnsi" w:cstheme="majorHAnsi"/>
          <w:sz w:val="28"/>
          <w:szCs w:val="28"/>
        </w:rPr>
        <w:t>La mise en œuvre des projets/programmes prioritaires identifiés dans la CDN, dont la mobilisation des ressources constitue une conditionnalité, sont conformes aux orientations du Cadre Stratégique pour la Relance Économique et le Développement Durable (CREDD) et à la Politique Nationale sur les Changements Climatiques (PNCC).</w:t>
      </w:r>
    </w:p>
    <w:p w14:paraId="1FF90CFD" w14:textId="77777777" w:rsidR="00C03EC4" w:rsidRPr="002E75D4" w:rsidRDefault="00C03EC4" w:rsidP="00C03EC4">
      <w:pPr>
        <w:tabs>
          <w:tab w:val="left" w:pos="2268"/>
          <w:tab w:val="left" w:pos="2410"/>
        </w:tabs>
        <w:spacing w:after="0" w:line="240" w:lineRule="auto"/>
        <w:jc w:val="both"/>
        <w:rPr>
          <w:rFonts w:asciiTheme="majorHAnsi" w:eastAsia="Calibri" w:hAnsiTheme="majorHAnsi" w:cstheme="majorHAnsi"/>
          <w:sz w:val="28"/>
          <w:szCs w:val="28"/>
        </w:rPr>
      </w:pPr>
    </w:p>
    <w:p w14:paraId="30740AEC" w14:textId="77777777" w:rsidR="00C03EC4" w:rsidRPr="002E75D4" w:rsidRDefault="00C03EC4" w:rsidP="00C03EC4">
      <w:pPr>
        <w:tabs>
          <w:tab w:val="left" w:pos="2268"/>
          <w:tab w:val="left" w:pos="2410"/>
        </w:tabs>
        <w:spacing w:after="0" w:line="240" w:lineRule="auto"/>
        <w:jc w:val="both"/>
        <w:rPr>
          <w:rFonts w:asciiTheme="majorHAnsi" w:eastAsia="Calibri" w:hAnsiTheme="majorHAnsi" w:cstheme="majorHAnsi"/>
          <w:sz w:val="28"/>
          <w:szCs w:val="28"/>
        </w:rPr>
      </w:pPr>
      <w:r w:rsidRPr="002E75D4">
        <w:rPr>
          <w:rFonts w:asciiTheme="majorHAnsi" w:eastAsia="Calibri" w:hAnsiTheme="majorHAnsi" w:cstheme="majorHAnsi"/>
          <w:sz w:val="28"/>
          <w:szCs w:val="28"/>
        </w:rPr>
        <w:t xml:space="preserve">C’est dans ce contexte que le Mali amorce une trajectoire de développement économique sobre en carbone et résilient aux changements climatiques, contribuant de plus aux efforts mondiaux de stabilisation des gaz à effet de serre, au titre de la responsabilité commune mais différenciée.   </w:t>
      </w:r>
    </w:p>
    <w:p w14:paraId="6ED3BE5F" w14:textId="77777777" w:rsidR="00C03EC4" w:rsidRPr="002E75D4" w:rsidRDefault="00C03EC4" w:rsidP="00C03EC4">
      <w:pPr>
        <w:spacing w:after="0" w:line="240" w:lineRule="auto"/>
        <w:jc w:val="both"/>
        <w:rPr>
          <w:rFonts w:asciiTheme="majorHAnsi" w:eastAsia="Calibri" w:hAnsiTheme="majorHAnsi" w:cstheme="majorHAnsi"/>
          <w:sz w:val="24"/>
          <w:szCs w:val="24"/>
        </w:rPr>
      </w:pPr>
    </w:p>
    <w:p w14:paraId="4C3B3D05"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r w:rsidRPr="002E75D4">
        <w:rPr>
          <w:rFonts w:asciiTheme="majorHAnsi" w:hAnsiTheme="majorHAnsi" w:cstheme="majorHAnsi"/>
          <w:noProof/>
          <w:sz w:val="24"/>
          <w:lang w:val="fr-FR" w:eastAsia="fr-FR"/>
        </w:rPr>
        <w:drawing>
          <wp:anchor distT="0" distB="0" distL="114300" distR="114300" simplePos="0" relativeHeight="251671552" behindDoc="1" locked="0" layoutInCell="1" allowOverlap="1" wp14:anchorId="69BFCDB5" wp14:editId="7E4396DB">
            <wp:simplePos x="0" y="0"/>
            <wp:positionH relativeFrom="column">
              <wp:posOffset>-727710</wp:posOffset>
            </wp:positionH>
            <wp:positionV relativeFrom="paragraph">
              <wp:posOffset>-718820</wp:posOffset>
            </wp:positionV>
            <wp:extent cx="7564755" cy="12692380"/>
            <wp:effectExtent l="57150" t="57150" r="55245" b="52070"/>
            <wp:wrapNone/>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1089_vector-background-design-red.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4755" cy="12692380"/>
                    </a:xfrm>
                    <a:prstGeom prst="rect">
                      <a:avLst/>
                    </a:prstGeom>
                    <a:solidFill>
                      <a:srgbClr val="FFFFFF">
                        <a:shade val="85000"/>
                      </a:srgbClr>
                    </a:solidFill>
                    <a:ln w="190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14:paraId="17A0C20F" w14:textId="77777777" w:rsidR="00C03EC4" w:rsidRPr="002E75D4" w:rsidRDefault="00C03EC4" w:rsidP="00C03EC4">
      <w:pPr>
        <w:pStyle w:val="StylenormalENABEL"/>
        <w:spacing w:line="276" w:lineRule="auto"/>
        <w:ind w:left="357"/>
        <w:contextualSpacing w:val="0"/>
        <w:rPr>
          <w:rFonts w:asciiTheme="majorHAnsi" w:hAnsiTheme="majorHAnsi" w:cstheme="majorHAnsi"/>
          <w:noProof/>
          <w:sz w:val="24"/>
        </w:rPr>
      </w:pPr>
    </w:p>
    <w:p w14:paraId="0D4179BE"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23E81BA8"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1A79C743"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4CDE16E7"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7F217348"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4150896B"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49B495E0"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2FE6A192"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3DD126CB"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1BCA21E6"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34833A77"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2966ACC4"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62FEA442"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5DF055A3"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68122A00"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1BE22F66"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4F411706"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0F1D1926"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6A5A83B8"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r w:rsidRPr="002E75D4">
        <w:rPr>
          <w:rFonts w:asciiTheme="majorHAnsi" w:hAnsiTheme="majorHAnsi" w:cstheme="majorHAnsi"/>
          <w:noProof/>
          <w:sz w:val="24"/>
          <w:lang w:val="fr-FR" w:eastAsia="fr-FR"/>
        </w:rPr>
        <w:drawing>
          <wp:anchor distT="0" distB="0" distL="114300" distR="114300" simplePos="0" relativeHeight="251675648" behindDoc="1" locked="0" layoutInCell="1" allowOverlap="1" wp14:anchorId="01FF444D" wp14:editId="38EBF173">
            <wp:simplePos x="0" y="0"/>
            <wp:positionH relativeFrom="column">
              <wp:posOffset>-791845</wp:posOffset>
            </wp:positionH>
            <wp:positionV relativeFrom="paragraph">
              <wp:posOffset>-1681942</wp:posOffset>
            </wp:positionV>
            <wp:extent cx="7677150" cy="12688570"/>
            <wp:effectExtent l="57150" t="57150" r="57150" b="5588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61089_vector-background-design-red.jpg"/>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677150" cy="12688570"/>
                    </a:xfrm>
                    <a:prstGeom prst="rect">
                      <a:avLst/>
                    </a:prstGeom>
                    <a:solidFill>
                      <a:srgbClr val="FFFFFF">
                        <a:shade val="85000"/>
                      </a:srgbClr>
                    </a:solidFill>
                    <a:ln w="190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p w14:paraId="2D7C1D89"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0D85D5A2"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6261588E"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4B8F1BF9"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4C30F7DF"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0DA20CBE"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1CCF89A0" w14:textId="77777777" w:rsidR="00C03EC4" w:rsidRPr="002E75D4" w:rsidRDefault="00C03EC4" w:rsidP="00C03EC4">
      <w:pPr>
        <w:pStyle w:val="StylenormalENABEL"/>
        <w:spacing w:line="276" w:lineRule="auto"/>
        <w:ind w:left="357"/>
        <w:contextualSpacing w:val="0"/>
        <w:rPr>
          <w:rFonts w:asciiTheme="majorHAnsi" w:hAnsiTheme="majorHAnsi" w:cstheme="majorHAnsi"/>
          <w:sz w:val="24"/>
        </w:rPr>
      </w:pPr>
    </w:p>
    <w:p w14:paraId="60DF863B" w14:textId="77777777" w:rsidR="00C03EC4" w:rsidRPr="002E75D4" w:rsidRDefault="00C03EC4" w:rsidP="00C03EC4">
      <w:pPr>
        <w:pStyle w:val="StylenormalENABEL"/>
        <w:spacing w:line="276" w:lineRule="auto"/>
        <w:ind w:left="851"/>
        <w:contextualSpacing w:val="0"/>
        <w:rPr>
          <w:rFonts w:asciiTheme="majorHAnsi" w:hAnsiTheme="majorHAnsi" w:cstheme="majorHAnsi"/>
          <w:b/>
          <w:sz w:val="80"/>
          <w:szCs w:val="80"/>
        </w:rPr>
      </w:pPr>
    </w:p>
    <w:p w14:paraId="7A2D6DBB" w14:textId="77777777" w:rsidR="00C03EC4" w:rsidRPr="002E75D4" w:rsidRDefault="00C03EC4" w:rsidP="00C03EC4">
      <w:pPr>
        <w:pStyle w:val="StylenormalENABEL"/>
        <w:spacing w:line="276" w:lineRule="auto"/>
        <w:ind w:left="851"/>
        <w:contextualSpacing w:val="0"/>
        <w:rPr>
          <w:rFonts w:asciiTheme="majorHAnsi" w:hAnsiTheme="majorHAnsi" w:cstheme="majorHAnsi"/>
          <w:b/>
          <w:sz w:val="80"/>
          <w:szCs w:val="80"/>
        </w:rPr>
      </w:pPr>
    </w:p>
    <w:p w14:paraId="3BD79924" w14:textId="77777777" w:rsidR="00C03EC4" w:rsidRPr="002E75D4" w:rsidRDefault="00C03EC4" w:rsidP="00C03EC4">
      <w:pPr>
        <w:pStyle w:val="StylenormalENABEL"/>
        <w:spacing w:line="276" w:lineRule="auto"/>
        <w:ind w:left="851"/>
        <w:contextualSpacing w:val="0"/>
        <w:rPr>
          <w:rFonts w:asciiTheme="majorHAnsi" w:hAnsiTheme="majorHAnsi" w:cstheme="majorHAnsi"/>
          <w:b/>
          <w:sz w:val="80"/>
          <w:szCs w:val="80"/>
        </w:rPr>
      </w:pPr>
    </w:p>
    <w:p w14:paraId="591ADDCE" w14:textId="77777777" w:rsidR="00C03EC4" w:rsidRPr="00F55CD5" w:rsidRDefault="00C03EC4" w:rsidP="00C03EC4">
      <w:pPr>
        <w:pStyle w:val="StylenormalENABEL"/>
        <w:spacing w:line="276" w:lineRule="auto"/>
        <w:ind w:left="851"/>
        <w:contextualSpacing w:val="0"/>
        <w:rPr>
          <w:rFonts w:asciiTheme="minorHAnsi" w:hAnsiTheme="minorHAnsi" w:cstheme="majorHAnsi"/>
          <w:b/>
          <w:sz w:val="100"/>
          <w:szCs w:val="100"/>
        </w:rPr>
      </w:pPr>
      <w:r w:rsidRPr="00F55CD5">
        <w:rPr>
          <w:rFonts w:asciiTheme="minorHAnsi" w:hAnsiTheme="minorHAnsi" w:cstheme="majorHAnsi"/>
          <w:b/>
          <w:sz w:val="100"/>
          <w:szCs w:val="100"/>
        </w:rPr>
        <w:t>ANNEXE</w:t>
      </w:r>
    </w:p>
    <w:p w14:paraId="76BC1EF8"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29FD08F4"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6B4D5207"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1050CB22"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068DA31C"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02B70ECA"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43BF15E7"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14B81371"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74CE9C55"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35505141"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654A0580"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63C1E600"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20A17A6C"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6DE254B4"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1ED86492"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6E96ED28"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2F15199C"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578435BC"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060E52C1"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6E896757" w14:textId="77777777" w:rsidR="00C03EC4" w:rsidRPr="002E75D4" w:rsidRDefault="00C03EC4" w:rsidP="00C03EC4">
      <w:pPr>
        <w:pStyle w:val="StylenormalENABEL"/>
        <w:spacing w:line="276" w:lineRule="auto"/>
        <w:contextualSpacing w:val="0"/>
        <w:rPr>
          <w:rFonts w:asciiTheme="majorHAnsi" w:hAnsiTheme="majorHAnsi" w:cstheme="majorHAnsi"/>
          <w:sz w:val="24"/>
        </w:rPr>
      </w:pPr>
    </w:p>
    <w:p w14:paraId="284E5B69" w14:textId="77777777" w:rsidR="00C03EC4" w:rsidRPr="002E75D4" w:rsidRDefault="00C03EC4" w:rsidP="00C03EC4">
      <w:pPr>
        <w:pStyle w:val="StylenormalENABEL"/>
        <w:spacing w:line="276" w:lineRule="auto"/>
        <w:contextualSpacing w:val="0"/>
        <w:rPr>
          <w:rFonts w:asciiTheme="majorHAnsi" w:hAnsiTheme="majorHAnsi" w:cstheme="majorHAnsi"/>
          <w:b/>
          <w:sz w:val="40"/>
          <w:szCs w:val="40"/>
          <w:lang w:val="fr-FR"/>
        </w:rPr>
      </w:pPr>
      <w:r w:rsidRPr="00F55CD5">
        <w:rPr>
          <w:rFonts w:asciiTheme="majorHAnsi" w:hAnsiTheme="majorHAnsi" w:cstheme="majorHAnsi"/>
          <w:b/>
          <w:bCs/>
          <w:sz w:val="40"/>
          <w:szCs w:val="40"/>
          <w:u w:val="single"/>
          <w:lang w:val="fr-FR"/>
        </w:rPr>
        <w:t>ANNEXE 1 :</w:t>
      </w:r>
      <w:r w:rsidRPr="002E75D4">
        <w:rPr>
          <w:rFonts w:asciiTheme="majorHAnsi" w:hAnsiTheme="majorHAnsi" w:cstheme="majorHAnsi"/>
          <w:b/>
          <w:sz w:val="40"/>
          <w:szCs w:val="40"/>
          <w:lang w:val="fr-FR"/>
        </w:rPr>
        <w:t xml:space="preserve"> TABLEAU ICTU</w:t>
      </w:r>
    </w:p>
    <w:p w14:paraId="611586B6" w14:textId="77777777" w:rsidR="00C03EC4" w:rsidRPr="002E75D4" w:rsidRDefault="00C03EC4" w:rsidP="00C03EC4">
      <w:pPr>
        <w:spacing w:before="120" w:after="40"/>
        <w:ind w:right="-852"/>
        <w:jc w:val="both"/>
        <w:rPr>
          <w:rFonts w:asciiTheme="majorHAnsi" w:hAnsiTheme="majorHAnsi" w:cstheme="majorHAnsi"/>
          <w:b/>
          <w:bCs/>
        </w:rPr>
      </w:pPr>
      <w:r w:rsidRPr="002E75D4">
        <w:rPr>
          <w:rFonts w:asciiTheme="majorHAnsi" w:hAnsiTheme="majorHAnsi" w:cstheme="majorHAnsi"/>
          <w:b/>
          <w:bCs/>
        </w:rPr>
        <w:t xml:space="preserve">Informations sur la clarté, la transparence et la compréhension de la CDN </w:t>
      </w:r>
      <w:r w:rsidRPr="002E75D4">
        <w:rPr>
          <w:rFonts w:asciiTheme="majorHAnsi" w:hAnsiTheme="majorHAnsi" w:cstheme="majorHAnsi"/>
          <w:b/>
          <w:bCs/>
          <w:sz w:val="28"/>
        </w:rPr>
        <w:t>(ICTU)</w:t>
      </w:r>
    </w:p>
    <w:tbl>
      <w:tblPr>
        <w:tblStyle w:val="Grillemoyenne3-Accent1"/>
        <w:tblW w:w="5000" w:type="pct"/>
        <w:tblLook w:val="04A0" w:firstRow="1" w:lastRow="0" w:firstColumn="1" w:lastColumn="0" w:noHBand="0" w:noVBand="1"/>
      </w:tblPr>
      <w:tblGrid>
        <w:gridCol w:w="3536"/>
        <w:gridCol w:w="6083"/>
      </w:tblGrid>
      <w:tr w:rsidR="00C03EC4" w:rsidRPr="002E75D4" w14:paraId="078606E9" w14:textId="77777777" w:rsidTr="000D6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2060"/>
            <w:hideMark/>
          </w:tcPr>
          <w:p w14:paraId="11DDDD78" w14:textId="77777777" w:rsidR="00C03EC4" w:rsidRPr="002E75D4" w:rsidRDefault="00C03EC4" w:rsidP="000D6136">
            <w:pPr>
              <w:jc w:val="center"/>
              <w:rPr>
                <w:rFonts w:asciiTheme="majorHAnsi" w:hAnsiTheme="majorHAnsi" w:cstheme="majorHAnsi"/>
                <w:color w:val="auto"/>
              </w:rPr>
            </w:pPr>
            <w:r w:rsidRPr="002E75D4">
              <w:rPr>
                <w:rFonts w:asciiTheme="majorHAnsi" w:hAnsiTheme="majorHAnsi" w:cstheme="majorHAnsi"/>
                <w:color w:val="auto"/>
              </w:rPr>
              <w:t>1. Informations quantifiées sur le point, l’année ou les années de référence</w:t>
            </w:r>
          </w:p>
        </w:tc>
      </w:tr>
      <w:tr w:rsidR="00C03EC4" w:rsidRPr="002E75D4" w14:paraId="01752C1B" w14:textId="77777777" w:rsidTr="000D613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8" w:type="pct"/>
            <w:shd w:val="clear" w:color="auto" w:fill="D9E2F3" w:themeFill="accent1" w:themeFillTint="33"/>
          </w:tcPr>
          <w:p w14:paraId="3BC3C29B" w14:textId="77777777" w:rsidR="00C03EC4" w:rsidRPr="002E75D4" w:rsidRDefault="00C03EC4" w:rsidP="000D6136">
            <w:pPr>
              <w:jc w:val="both"/>
              <w:rPr>
                <w:rFonts w:asciiTheme="majorHAnsi" w:hAnsiTheme="majorHAnsi" w:cstheme="majorHAnsi"/>
                <w:b w:val="0"/>
                <w:color w:val="auto"/>
                <w:lang w:eastAsia="en-GB"/>
              </w:rPr>
            </w:pPr>
            <w:r w:rsidRPr="002E75D4">
              <w:rPr>
                <w:rFonts w:asciiTheme="majorHAnsi" w:hAnsiTheme="majorHAnsi" w:cstheme="majorHAnsi"/>
                <w:b w:val="0"/>
                <w:color w:val="auto"/>
                <w:lang w:eastAsia="en-GB"/>
              </w:rPr>
              <w:t>Type de cible</w:t>
            </w:r>
          </w:p>
        </w:tc>
        <w:tc>
          <w:tcPr>
            <w:tcW w:w="3162" w:type="pct"/>
            <w:shd w:val="clear" w:color="auto" w:fill="F2F2F2" w:themeFill="background1" w:themeFillShade="F2"/>
          </w:tcPr>
          <w:p w14:paraId="600D835B"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Cible conditionnelle de réduction des émissions de GES dans 4 secteurs (énergie, Agriculture, FAT et déchets) en 2030 par rapport au BAU</w:t>
            </w:r>
          </w:p>
        </w:tc>
      </w:tr>
      <w:tr w:rsidR="00C03EC4" w:rsidRPr="002E75D4" w14:paraId="4A540FD8" w14:textId="77777777" w:rsidTr="000D6136">
        <w:trPr>
          <w:trHeight w:val="257"/>
        </w:trPr>
        <w:tc>
          <w:tcPr>
            <w:cnfStyle w:val="001000000000" w:firstRow="0" w:lastRow="0" w:firstColumn="1" w:lastColumn="0" w:oddVBand="0" w:evenVBand="0" w:oddHBand="0" w:evenHBand="0" w:firstRowFirstColumn="0" w:firstRowLastColumn="0" w:lastRowFirstColumn="0" w:lastRowLastColumn="0"/>
            <w:tcW w:w="1838" w:type="pct"/>
            <w:shd w:val="clear" w:color="auto" w:fill="B4C6E7" w:themeFill="accent1" w:themeFillTint="66"/>
          </w:tcPr>
          <w:p w14:paraId="0729A675" w14:textId="77777777" w:rsidR="00C03EC4" w:rsidRPr="002E75D4" w:rsidRDefault="00C03EC4" w:rsidP="000D6136">
            <w:pPr>
              <w:pStyle w:val="Default"/>
              <w:spacing w:line="276" w:lineRule="auto"/>
              <w:jc w:val="both"/>
              <w:rPr>
                <w:rFonts w:asciiTheme="majorHAnsi" w:hAnsiTheme="majorHAnsi" w:cstheme="majorHAnsi"/>
                <w:b w:val="0"/>
                <w:color w:val="auto"/>
                <w:sz w:val="22"/>
                <w:szCs w:val="22"/>
              </w:rPr>
            </w:pPr>
            <w:r w:rsidRPr="002E75D4">
              <w:rPr>
                <w:rFonts w:asciiTheme="majorHAnsi" w:eastAsia="Times New Roman" w:hAnsiTheme="majorHAnsi" w:cstheme="majorHAnsi"/>
                <w:b w:val="0"/>
                <w:color w:val="auto"/>
                <w:sz w:val="22"/>
                <w:szCs w:val="22"/>
                <w:lang w:eastAsia="en-GB"/>
              </w:rPr>
              <w:t>P</w:t>
            </w:r>
            <w:r w:rsidRPr="002E75D4">
              <w:rPr>
                <w:rFonts w:asciiTheme="majorHAnsi" w:hAnsiTheme="majorHAnsi" w:cstheme="majorHAnsi"/>
                <w:b w:val="0"/>
                <w:color w:val="auto"/>
                <w:sz w:val="22"/>
                <w:szCs w:val="22"/>
              </w:rPr>
              <w:t xml:space="preserve">ériode de référence </w:t>
            </w:r>
          </w:p>
        </w:tc>
        <w:tc>
          <w:tcPr>
            <w:tcW w:w="3162" w:type="pct"/>
            <w:shd w:val="clear" w:color="auto" w:fill="D9D9D9" w:themeFill="background1" w:themeFillShade="D9"/>
          </w:tcPr>
          <w:p w14:paraId="63E39525"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Période de référence : 2014-2019</w:t>
            </w:r>
          </w:p>
          <w:p w14:paraId="2CDD8C17"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Elle correspond à la période de premier projet BUR qui a fourni les données de gaz à effet de serre mesurées objectivement dans les secteurs énergie, agriculture, forêts, changement d’affectation des terres et déchets.</w:t>
            </w:r>
          </w:p>
        </w:tc>
      </w:tr>
      <w:tr w:rsidR="00C03EC4" w:rsidRPr="002E75D4" w14:paraId="381EF891" w14:textId="77777777" w:rsidTr="000D6136">
        <w:trPr>
          <w:cnfStyle w:val="000000100000" w:firstRow="0" w:lastRow="0" w:firstColumn="0" w:lastColumn="0" w:oddVBand="0" w:evenVBand="0" w:oddHBand="1" w:evenHBand="0" w:firstRowFirstColumn="0" w:firstRowLastColumn="0" w:lastRowFirstColumn="0" w:lastRowLastColumn="0"/>
          <w:trHeight w:val="6055"/>
        </w:trPr>
        <w:tc>
          <w:tcPr>
            <w:cnfStyle w:val="001000000000" w:firstRow="0" w:lastRow="0" w:firstColumn="1" w:lastColumn="0" w:oddVBand="0" w:evenVBand="0" w:oddHBand="0" w:evenHBand="0" w:firstRowFirstColumn="0" w:firstRowLastColumn="0" w:lastRowFirstColumn="0" w:lastRowLastColumn="0"/>
            <w:tcW w:w="1838" w:type="pct"/>
            <w:shd w:val="clear" w:color="auto" w:fill="D9E2F3" w:themeFill="accent1" w:themeFillTint="33"/>
          </w:tcPr>
          <w:p w14:paraId="15F0A1DF" w14:textId="77777777" w:rsidR="00C03EC4" w:rsidRPr="002E75D4" w:rsidRDefault="00C03EC4" w:rsidP="000D6136">
            <w:pPr>
              <w:pStyle w:val="Default"/>
              <w:spacing w:line="276" w:lineRule="auto"/>
              <w:jc w:val="both"/>
              <w:rPr>
                <w:rFonts w:asciiTheme="majorHAnsi" w:hAnsiTheme="majorHAnsi" w:cstheme="majorHAnsi"/>
                <w:b w:val="0"/>
                <w:color w:val="auto"/>
                <w:sz w:val="22"/>
                <w:szCs w:val="22"/>
              </w:rPr>
            </w:pPr>
            <w:r w:rsidRPr="002E75D4">
              <w:rPr>
                <w:rFonts w:asciiTheme="majorHAnsi" w:eastAsia="Times New Roman" w:hAnsiTheme="majorHAnsi" w:cstheme="majorHAnsi"/>
                <w:b w:val="0"/>
                <w:color w:val="auto"/>
                <w:sz w:val="22"/>
                <w:szCs w:val="22"/>
                <w:lang w:eastAsia="en-GB"/>
              </w:rPr>
              <w:t>I </w:t>
            </w:r>
            <w:r w:rsidRPr="002E75D4">
              <w:rPr>
                <w:rFonts w:asciiTheme="majorHAnsi" w:hAnsiTheme="majorHAnsi" w:cstheme="majorHAnsi"/>
                <w:b w:val="0"/>
                <w:color w:val="auto"/>
                <w:sz w:val="22"/>
                <w:szCs w:val="22"/>
              </w:rPr>
              <w:t xml:space="preserve">es informations quantifiables sur les indicateurs de référence, leurs valeurs au cours de l’année ou des années de référence, de la période ou des périodes de référence ou d’autres points de départ et, le cas échéant, de l’année cible </w:t>
            </w:r>
          </w:p>
        </w:tc>
        <w:tc>
          <w:tcPr>
            <w:tcW w:w="3162" w:type="pct"/>
            <w:shd w:val="clear" w:color="auto" w:fill="F2F2F2" w:themeFill="background1" w:themeFillShade="F2"/>
          </w:tcPr>
          <w:p w14:paraId="4B7E97AA"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vertAlign w:val="subscript"/>
              </w:rPr>
            </w:pPr>
            <w:r w:rsidRPr="002E75D4">
              <w:rPr>
                <w:rFonts w:asciiTheme="majorHAnsi" w:hAnsiTheme="majorHAnsi" w:cstheme="majorHAnsi"/>
              </w:rPr>
              <w:t>Ces informations sont dans le chapitre 3.1 de la CDN. A titre d’exemple émissions par catégorie de gaz en KTEq CO</w:t>
            </w:r>
            <w:r w:rsidRPr="002E75D4">
              <w:rPr>
                <w:rFonts w:asciiTheme="majorHAnsi" w:hAnsiTheme="majorHAnsi" w:cstheme="majorHAnsi"/>
                <w:vertAlign w:val="subscript"/>
              </w:rPr>
              <w:t>2 :</w:t>
            </w:r>
          </w:p>
          <w:tbl>
            <w:tblPr>
              <w:tblStyle w:val="Grillemoyenne3-Accent1"/>
              <w:tblW w:w="5000" w:type="pct"/>
              <w:tblLook w:val="0420" w:firstRow="1" w:lastRow="0" w:firstColumn="0" w:lastColumn="0" w:noHBand="0" w:noVBand="1"/>
            </w:tblPr>
            <w:tblGrid>
              <w:gridCol w:w="1797"/>
              <w:gridCol w:w="1203"/>
              <w:gridCol w:w="1202"/>
              <w:gridCol w:w="1645"/>
            </w:tblGrid>
            <w:tr w:rsidR="00C03EC4" w:rsidRPr="002E75D4" w14:paraId="3B585F80" w14:textId="77777777" w:rsidTr="000D6136">
              <w:trPr>
                <w:cnfStyle w:val="100000000000" w:firstRow="1" w:lastRow="0" w:firstColumn="0" w:lastColumn="0" w:oddVBand="0" w:evenVBand="0" w:oddHBand="0" w:evenHBand="0" w:firstRowFirstColumn="0" w:firstRowLastColumn="0" w:lastRowFirstColumn="0" w:lastRowLastColumn="0"/>
                <w:trHeight w:val="469"/>
              </w:trPr>
              <w:tc>
                <w:tcPr>
                  <w:tcW w:w="1536" w:type="pct"/>
                  <w:shd w:val="clear" w:color="auto" w:fill="C00000"/>
                </w:tcPr>
                <w:p w14:paraId="528D42AD" w14:textId="77777777" w:rsidR="00C03EC4" w:rsidRPr="002E75D4" w:rsidRDefault="00C03EC4" w:rsidP="000D6136">
                  <w:pPr>
                    <w:contextualSpacing/>
                    <w:rPr>
                      <w:rFonts w:asciiTheme="majorHAnsi" w:hAnsiTheme="majorHAnsi" w:cstheme="majorHAnsi"/>
                      <w:b w:val="0"/>
                      <w:color w:val="auto"/>
                    </w:rPr>
                  </w:pPr>
                  <w:r w:rsidRPr="002E75D4">
                    <w:rPr>
                      <w:rFonts w:asciiTheme="majorHAnsi" w:hAnsiTheme="majorHAnsi" w:cstheme="majorHAnsi"/>
                      <w:b w:val="0"/>
                      <w:color w:val="auto"/>
                    </w:rPr>
                    <w:t>Agriculture</w:t>
                  </w:r>
                </w:p>
              </w:tc>
              <w:tc>
                <w:tcPr>
                  <w:tcW w:w="1028" w:type="pct"/>
                  <w:shd w:val="clear" w:color="auto" w:fill="002060"/>
                </w:tcPr>
                <w:p w14:paraId="1043D299" w14:textId="77777777" w:rsidR="00C03EC4" w:rsidRPr="002E75D4" w:rsidRDefault="00C03EC4" w:rsidP="000D6136">
                  <w:pPr>
                    <w:contextualSpacing/>
                    <w:rPr>
                      <w:rFonts w:asciiTheme="majorHAnsi" w:hAnsiTheme="majorHAnsi" w:cstheme="majorHAnsi"/>
                      <w:b w:val="0"/>
                      <w:color w:val="auto"/>
                    </w:rPr>
                  </w:pPr>
                  <w:r w:rsidRPr="002E75D4">
                    <w:rPr>
                      <w:rFonts w:asciiTheme="majorHAnsi" w:hAnsiTheme="majorHAnsi" w:cstheme="majorHAnsi"/>
                      <w:b w:val="0"/>
                      <w:color w:val="auto"/>
                    </w:rPr>
                    <w:t>CH4</w:t>
                  </w:r>
                </w:p>
              </w:tc>
              <w:tc>
                <w:tcPr>
                  <w:tcW w:w="1028" w:type="pct"/>
                  <w:shd w:val="clear" w:color="auto" w:fill="BF8F00" w:themeFill="accent4" w:themeFillShade="BF"/>
                </w:tcPr>
                <w:p w14:paraId="14F2F2B4" w14:textId="77777777" w:rsidR="00C03EC4" w:rsidRPr="002E75D4" w:rsidRDefault="00C03EC4" w:rsidP="000D6136">
                  <w:pPr>
                    <w:contextualSpacing/>
                    <w:rPr>
                      <w:rFonts w:asciiTheme="majorHAnsi" w:hAnsiTheme="majorHAnsi" w:cstheme="majorHAnsi"/>
                      <w:b w:val="0"/>
                      <w:color w:val="auto"/>
                    </w:rPr>
                  </w:pPr>
                  <w:r w:rsidRPr="002E75D4">
                    <w:rPr>
                      <w:rFonts w:asciiTheme="majorHAnsi" w:hAnsiTheme="majorHAnsi" w:cstheme="majorHAnsi"/>
                      <w:b w:val="0"/>
                      <w:color w:val="auto"/>
                    </w:rPr>
                    <w:t>NO2</w:t>
                  </w:r>
                </w:p>
              </w:tc>
              <w:tc>
                <w:tcPr>
                  <w:tcW w:w="1407" w:type="pct"/>
                  <w:shd w:val="clear" w:color="auto" w:fill="00B050"/>
                </w:tcPr>
                <w:p w14:paraId="4755A2EE" w14:textId="77777777" w:rsidR="00C03EC4" w:rsidRPr="002E75D4" w:rsidRDefault="00C03EC4" w:rsidP="000D6136">
                  <w:pPr>
                    <w:contextualSpacing/>
                    <w:rPr>
                      <w:rFonts w:asciiTheme="majorHAnsi" w:hAnsiTheme="majorHAnsi" w:cstheme="majorHAnsi"/>
                      <w:b w:val="0"/>
                      <w:color w:val="auto"/>
                    </w:rPr>
                  </w:pPr>
                  <w:r w:rsidRPr="002E75D4">
                    <w:rPr>
                      <w:rFonts w:asciiTheme="majorHAnsi" w:hAnsiTheme="majorHAnsi" w:cstheme="majorHAnsi"/>
                      <w:b w:val="0"/>
                      <w:color w:val="auto"/>
                    </w:rPr>
                    <w:t>Total</w:t>
                  </w:r>
                </w:p>
              </w:tc>
            </w:tr>
            <w:tr w:rsidR="00C03EC4" w:rsidRPr="002E75D4" w14:paraId="5F25FCCB" w14:textId="77777777" w:rsidTr="000D6136">
              <w:trPr>
                <w:cnfStyle w:val="000000100000" w:firstRow="0" w:lastRow="0" w:firstColumn="0" w:lastColumn="0" w:oddVBand="0" w:evenVBand="0" w:oddHBand="1" w:evenHBand="0" w:firstRowFirstColumn="0" w:firstRowLastColumn="0" w:lastRowFirstColumn="0" w:lastRowLastColumn="0"/>
                <w:trHeight w:val="469"/>
              </w:trPr>
              <w:tc>
                <w:tcPr>
                  <w:tcW w:w="1536" w:type="pct"/>
                  <w:shd w:val="clear" w:color="auto" w:fill="FFEFEF"/>
                  <w:hideMark/>
                </w:tcPr>
                <w:p w14:paraId="48547F93"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2015</w:t>
                  </w:r>
                </w:p>
              </w:tc>
              <w:tc>
                <w:tcPr>
                  <w:tcW w:w="1028" w:type="pct"/>
                  <w:shd w:val="clear" w:color="auto" w:fill="D9E2F3" w:themeFill="accent1" w:themeFillTint="33"/>
                  <w:hideMark/>
                </w:tcPr>
                <w:p w14:paraId="6CAF0E94"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35 631</w:t>
                  </w:r>
                </w:p>
              </w:tc>
              <w:tc>
                <w:tcPr>
                  <w:tcW w:w="1028" w:type="pct"/>
                  <w:shd w:val="clear" w:color="auto" w:fill="FFF2CC" w:themeFill="accent4" w:themeFillTint="33"/>
                  <w:hideMark/>
                </w:tcPr>
                <w:p w14:paraId="12CF3E5A"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23 647</w:t>
                  </w:r>
                </w:p>
              </w:tc>
              <w:tc>
                <w:tcPr>
                  <w:tcW w:w="1407" w:type="pct"/>
                  <w:shd w:val="clear" w:color="auto" w:fill="E2EFD9" w:themeFill="accent6" w:themeFillTint="33"/>
                  <w:hideMark/>
                </w:tcPr>
                <w:p w14:paraId="3397BC77"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59 277,81</w:t>
                  </w:r>
                </w:p>
              </w:tc>
            </w:tr>
            <w:tr w:rsidR="00C03EC4" w:rsidRPr="002E75D4" w14:paraId="11529FAB" w14:textId="77777777" w:rsidTr="000D6136">
              <w:trPr>
                <w:trHeight w:val="469"/>
              </w:trPr>
              <w:tc>
                <w:tcPr>
                  <w:tcW w:w="1536" w:type="pct"/>
                  <w:shd w:val="clear" w:color="auto" w:fill="FFDDDD"/>
                  <w:hideMark/>
                </w:tcPr>
                <w:p w14:paraId="4F5FD03C"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2017</w:t>
                  </w:r>
                </w:p>
              </w:tc>
              <w:tc>
                <w:tcPr>
                  <w:tcW w:w="1028" w:type="pct"/>
                  <w:shd w:val="clear" w:color="auto" w:fill="B4C6E7" w:themeFill="accent1" w:themeFillTint="66"/>
                  <w:hideMark/>
                </w:tcPr>
                <w:p w14:paraId="29C47B7E"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58 367</w:t>
                  </w:r>
                </w:p>
              </w:tc>
              <w:tc>
                <w:tcPr>
                  <w:tcW w:w="1028" w:type="pct"/>
                  <w:shd w:val="clear" w:color="auto" w:fill="FFE599" w:themeFill="accent4" w:themeFillTint="66"/>
                  <w:hideMark/>
                </w:tcPr>
                <w:p w14:paraId="71C2679D"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26 804</w:t>
                  </w:r>
                </w:p>
              </w:tc>
              <w:tc>
                <w:tcPr>
                  <w:tcW w:w="1407" w:type="pct"/>
                  <w:shd w:val="clear" w:color="auto" w:fill="C5E0B3" w:themeFill="accent6" w:themeFillTint="66"/>
                  <w:hideMark/>
                </w:tcPr>
                <w:p w14:paraId="4A0DDFE1"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85 171,00</w:t>
                  </w:r>
                </w:p>
              </w:tc>
            </w:tr>
            <w:tr w:rsidR="00C03EC4" w:rsidRPr="002E75D4" w14:paraId="77A2E03F" w14:textId="77777777" w:rsidTr="000D6136">
              <w:trPr>
                <w:cnfStyle w:val="000000100000" w:firstRow="0" w:lastRow="0" w:firstColumn="0" w:lastColumn="0" w:oddVBand="0" w:evenVBand="0" w:oddHBand="1" w:evenHBand="0" w:firstRowFirstColumn="0" w:firstRowLastColumn="0" w:lastRowFirstColumn="0" w:lastRowLastColumn="0"/>
                <w:trHeight w:val="469"/>
              </w:trPr>
              <w:tc>
                <w:tcPr>
                  <w:tcW w:w="1536" w:type="pct"/>
                  <w:shd w:val="clear" w:color="auto" w:fill="FFC1C1"/>
                  <w:hideMark/>
                </w:tcPr>
                <w:p w14:paraId="29C4304D"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2019</w:t>
                  </w:r>
                </w:p>
              </w:tc>
              <w:tc>
                <w:tcPr>
                  <w:tcW w:w="1028" w:type="pct"/>
                  <w:shd w:val="clear" w:color="auto" w:fill="74A9DA"/>
                  <w:hideMark/>
                </w:tcPr>
                <w:p w14:paraId="667DB0E5"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48 731</w:t>
                  </w:r>
                </w:p>
              </w:tc>
              <w:tc>
                <w:tcPr>
                  <w:tcW w:w="1028" w:type="pct"/>
                  <w:shd w:val="clear" w:color="auto" w:fill="FFD966" w:themeFill="accent4" w:themeFillTint="99"/>
                  <w:hideMark/>
                </w:tcPr>
                <w:p w14:paraId="7EF8207F"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28 617</w:t>
                  </w:r>
                </w:p>
              </w:tc>
              <w:tc>
                <w:tcPr>
                  <w:tcW w:w="1407" w:type="pct"/>
                  <w:shd w:val="clear" w:color="auto" w:fill="A8D08D" w:themeFill="accent6" w:themeFillTint="99"/>
                  <w:hideMark/>
                </w:tcPr>
                <w:p w14:paraId="1003AA24"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77 347,44</w:t>
                  </w:r>
                </w:p>
              </w:tc>
            </w:tr>
          </w:tbl>
          <w:p w14:paraId="3E81C16E"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bl>
            <w:tblPr>
              <w:tblStyle w:val="Grillemoyenne3-Accent1"/>
              <w:tblW w:w="5000" w:type="pct"/>
              <w:tblLook w:val="0420" w:firstRow="1" w:lastRow="0" w:firstColumn="0" w:lastColumn="0" w:noHBand="0" w:noVBand="1"/>
            </w:tblPr>
            <w:tblGrid>
              <w:gridCol w:w="1352"/>
              <w:gridCol w:w="1165"/>
              <w:gridCol w:w="1035"/>
              <w:gridCol w:w="1244"/>
              <w:gridCol w:w="1051"/>
            </w:tblGrid>
            <w:tr w:rsidR="00C03EC4" w:rsidRPr="002E75D4" w14:paraId="4A31C906" w14:textId="77777777" w:rsidTr="000D6136">
              <w:trPr>
                <w:cnfStyle w:val="100000000000" w:firstRow="1" w:lastRow="0" w:firstColumn="0" w:lastColumn="0" w:oddVBand="0" w:evenVBand="0" w:oddHBand="0" w:evenHBand="0" w:firstRowFirstColumn="0" w:firstRowLastColumn="0" w:lastRowFirstColumn="0" w:lastRowLastColumn="0"/>
                <w:trHeight w:val="469"/>
              </w:trPr>
              <w:tc>
                <w:tcPr>
                  <w:tcW w:w="1156" w:type="pct"/>
                  <w:shd w:val="clear" w:color="auto" w:fill="C00000"/>
                </w:tcPr>
                <w:p w14:paraId="12E66C36" w14:textId="77777777" w:rsidR="00C03EC4" w:rsidRPr="002E75D4" w:rsidRDefault="00C03EC4" w:rsidP="000D6136">
                  <w:pPr>
                    <w:spacing w:before="240"/>
                    <w:contextualSpacing/>
                    <w:rPr>
                      <w:rFonts w:asciiTheme="majorHAnsi" w:hAnsiTheme="majorHAnsi" w:cstheme="majorHAnsi"/>
                      <w:b w:val="0"/>
                      <w:color w:val="auto"/>
                    </w:rPr>
                  </w:pPr>
                  <w:r w:rsidRPr="002E75D4">
                    <w:rPr>
                      <w:rFonts w:asciiTheme="majorHAnsi" w:hAnsiTheme="majorHAnsi" w:cstheme="majorHAnsi"/>
                      <w:b w:val="0"/>
                      <w:color w:val="auto"/>
                    </w:rPr>
                    <w:t>Foret AT</w:t>
                  </w:r>
                </w:p>
              </w:tc>
              <w:tc>
                <w:tcPr>
                  <w:tcW w:w="996" w:type="pct"/>
                  <w:shd w:val="clear" w:color="auto" w:fill="002060"/>
                </w:tcPr>
                <w:p w14:paraId="2CD1FF87" w14:textId="77777777" w:rsidR="00C03EC4" w:rsidRPr="002E75D4" w:rsidRDefault="00C03EC4" w:rsidP="000D6136">
                  <w:pPr>
                    <w:spacing w:before="240"/>
                    <w:contextualSpacing/>
                    <w:rPr>
                      <w:rFonts w:asciiTheme="majorHAnsi" w:hAnsiTheme="majorHAnsi" w:cstheme="majorHAnsi"/>
                      <w:b w:val="0"/>
                      <w:color w:val="auto"/>
                    </w:rPr>
                  </w:pPr>
                  <w:r w:rsidRPr="002E75D4">
                    <w:rPr>
                      <w:rFonts w:asciiTheme="majorHAnsi" w:hAnsiTheme="majorHAnsi" w:cstheme="majorHAnsi"/>
                      <w:b w:val="0"/>
                      <w:color w:val="auto"/>
                    </w:rPr>
                    <w:t>CO2</w:t>
                  </w:r>
                </w:p>
              </w:tc>
              <w:tc>
                <w:tcPr>
                  <w:tcW w:w="885" w:type="pct"/>
                  <w:shd w:val="clear" w:color="auto" w:fill="BF8F00" w:themeFill="accent4" w:themeFillShade="BF"/>
                </w:tcPr>
                <w:p w14:paraId="0F44A275" w14:textId="77777777" w:rsidR="00C03EC4" w:rsidRPr="002E75D4" w:rsidRDefault="00C03EC4" w:rsidP="000D6136">
                  <w:pPr>
                    <w:spacing w:before="240"/>
                    <w:contextualSpacing/>
                    <w:rPr>
                      <w:rFonts w:asciiTheme="majorHAnsi" w:hAnsiTheme="majorHAnsi" w:cstheme="majorHAnsi"/>
                      <w:b w:val="0"/>
                      <w:color w:val="auto"/>
                    </w:rPr>
                  </w:pPr>
                  <w:r w:rsidRPr="002E75D4">
                    <w:rPr>
                      <w:rFonts w:asciiTheme="majorHAnsi" w:hAnsiTheme="majorHAnsi" w:cstheme="majorHAnsi"/>
                      <w:b w:val="0"/>
                      <w:color w:val="auto"/>
                    </w:rPr>
                    <w:t>CH4</w:t>
                  </w:r>
                </w:p>
              </w:tc>
              <w:tc>
                <w:tcPr>
                  <w:tcW w:w="1064" w:type="pct"/>
                  <w:shd w:val="clear" w:color="auto" w:fill="00B050"/>
                </w:tcPr>
                <w:p w14:paraId="57190FC2" w14:textId="77777777" w:rsidR="00C03EC4" w:rsidRPr="002E75D4" w:rsidRDefault="00C03EC4" w:rsidP="000D6136">
                  <w:pPr>
                    <w:spacing w:before="240"/>
                    <w:contextualSpacing/>
                    <w:rPr>
                      <w:rFonts w:asciiTheme="majorHAnsi" w:hAnsiTheme="majorHAnsi" w:cstheme="majorHAnsi"/>
                      <w:b w:val="0"/>
                      <w:color w:val="auto"/>
                    </w:rPr>
                  </w:pPr>
                  <w:r w:rsidRPr="002E75D4">
                    <w:rPr>
                      <w:rFonts w:asciiTheme="majorHAnsi" w:hAnsiTheme="majorHAnsi" w:cstheme="majorHAnsi"/>
                      <w:b w:val="0"/>
                      <w:color w:val="auto"/>
                    </w:rPr>
                    <w:t>N2O</w:t>
                  </w:r>
                </w:p>
              </w:tc>
              <w:tc>
                <w:tcPr>
                  <w:tcW w:w="899" w:type="pct"/>
                  <w:shd w:val="clear" w:color="auto" w:fill="FF0000"/>
                </w:tcPr>
                <w:p w14:paraId="777E7A96" w14:textId="77777777" w:rsidR="00C03EC4" w:rsidRPr="002E75D4" w:rsidRDefault="00C03EC4" w:rsidP="000D6136">
                  <w:pPr>
                    <w:spacing w:before="240"/>
                    <w:contextualSpacing/>
                    <w:rPr>
                      <w:rFonts w:asciiTheme="majorHAnsi" w:hAnsiTheme="majorHAnsi" w:cstheme="majorHAnsi"/>
                      <w:b w:val="0"/>
                      <w:color w:val="auto"/>
                    </w:rPr>
                  </w:pPr>
                  <w:r w:rsidRPr="002E75D4">
                    <w:rPr>
                      <w:rFonts w:asciiTheme="majorHAnsi" w:hAnsiTheme="majorHAnsi" w:cstheme="majorHAnsi"/>
                      <w:b w:val="0"/>
                      <w:color w:val="auto"/>
                    </w:rPr>
                    <w:t>Total</w:t>
                  </w:r>
                </w:p>
              </w:tc>
            </w:tr>
            <w:tr w:rsidR="00C03EC4" w:rsidRPr="002E75D4" w14:paraId="08304E0B" w14:textId="77777777" w:rsidTr="000D6136">
              <w:trPr>
                <w:cnfStyle w:val="000000100000" w:firstRow="0" w:lastRow="0" w:firstColumn="0" w:lastColumn="0" w:oddVBand="0" w:evenVBand="0" w:oddHBand="1" w:evenHBand="0" w:firstRowFirstColumn="0" w:firstRowLastColumn="0" w:lastRowFirstColumn="0" w:lastRowLastColumn="0"/>
                <w:trHeight w:val="469"/>
              </w:trPr>
              <w:tc>
                <w:tcPr>
                  <w:tcW w:w="1156" w:type="pct"/>
                  <w:shd w:val="clear" w:color="auto" w:fill="FFEFEF"/>
                </w:tcPr>
                <w:p w14:paraId="72F9C0D2"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2015</w:t>
                  </w:r>
                </w:p>
              </w:tc>
              <w:tc>
                <w:tcPr>
                  <w:tcW w:w="996" w:type="pct"/>
                  <w:shd w:val="clear" w:color="auto" w:fill="D9E2F3" w:themeFill="accent1" w:themeFillTint="33"/>
                </w:tcPr>
                <w:p w14:paraId="726729BA"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-317 974</w:t>
                  </w:r>
                </w:p>
              </w:tc>
              <w:tc>
                <w:tcPr>
                  <w:tcW w:w="885" w:type="pct"/>
                  <w:shd w:val="clear" w:color="auto" w:fill="FFF2CC" w:themeFill="accent4" w:themeFillTint="33"/>
                </w:tcPr>
                <w:p w14:paraId="7AB8C512"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36941</w:t>
                  </w:r>
                </w:p>
              </w:tc>
              <w:tc>
                <w:tcPr>
                  <w:tcW w:w="1064" w:type="pct"/>
                  <w:shd w:val="clear" w:color="auto" w:fill="E2EFD9" w:themeFill="accent6" w:themeFillTint="33"/>
                </w:tcPr>
                <w:p w14:paraId="1D6D3129"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23039</w:t>
                  </w:r>
                </w:p>
              </w:tc>
              <w:tc>
                <w:tcPr>
                  <w:tcW w:w="899" w:type="pct"/>
                  <w:shd w:val="clear" w:color="auto" w:fill="FFEFEF"/>
                </w:tcPr>
                <w:p w14:paraId="0103C1D9"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-257 994</w:t>
                  </w:r>
                </w:p>
              </w:tc>
            </w:tr>
            <w:tr w:rsidR="00C03EC4" w:rsidRPr="002E75D4" w14:paraId="18D4B905" w14:textId="77777777" w:rsidTr="000D6136">
              <w:trPr>
                <w:trHeight w:val="469"/>
              </w:trPr>
              <w:tc>
                <w:tcPr>
                  <w:tcW w:w="1156" w:type="pct"/>
                  <w:shd w:val="clear" w:color="auto" w:fill="FFDDDD"/>
                </w:tcPr>
                <w:p w14:paraId="402EB5EB"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2016</w:t>
                  </w:r>
                </w:p>
              </w:tc>
              <w:tc>
                <w:tcPr>
                  <w:tcW w:w="996" w:type="pct"/>
                  <w:shd w:val="clear" w:color="auto" w:fill="B4C6E7" w:themeFill="accent1" w:themeFillTint="66"/>
                </w:tcPr>
                <w:p w14:paraId="5B05C702"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-322 055</w:t>
                  </w:r>
                </w:p>
              </w:tc>
              <w:tc>
                <w:tcPr>
                  <w:tcW w:w="885" w:type="pct"/>
                  <w:shd w:val="clear" w:color="auto" w:fill="FFE599" w:themeFill="accent4" w:themeFillTint="66"/>
                </w:tcPr>
                <w:p w14:paraId="07B07697"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51539</w:t>
                  </w:r>
                </w:p>
              </w:tc>
              <w:tc>
                <w:tcPr>
                  <w:tcW w:w="1064" w:type="pct"/>
                  <w:shd w:val="clear" w:color="auto" w:fill="C5E0B3" w:themeFill="accent6" w:themeFillTint="66"/>
                </w:tcPr>
                <w:p w14:paraId="17C230B0"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23929</w:t>
                  </w:r>
                </w:p>
              </w:tc>
              <w:tc>
                <w:tcPr>
                  <w:tcW w:w="899" w:type="pct"/>
                  <w:shd w:val="clear" w:color="auto" w:fill="FFC5C5"/>
                </w:tcPr>
                <w:p w14:paraId="0FD27B66"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-246 587</w:t>
                  </w:r>
                </w:p>
              </w:tc>
            </w:tr>
            <w:tr w:rsidR="00C03EC4" w:rsidRPr="002E75D4" w14:paraId="6C356454" w14:textId="77777777" w:rsidTr="000D6136">
              <w:trPr>
                <w:cnfStyle w:val="000000100000" w:firstRow="0" w:lastRow="0" w:firstColumn="0" w:lastColumn="0" w:oddVBand="0" w:evenVBand="0" w:oddHBand="1" w:evenHBand="0" w:firstRowFirstColumn="0" w:firstRowLastColumn="0" w:lastRowFirstColumn="0" w:lastRowLastColumn="0"/>
                <w:trHeight w:val="469"/>
              </w:trPr>
              <w:tc>
                <w:tcPr>
                  <w:tcW w:w="1156" w:type="pct"/>
                  <w:shd w:val="clear" w:color="auto" w:fill="FFC1C1"/>
                </w:tcPr>
                <w:p w14:paraId="33CABACD"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2017</w:t>
                  </w:r>
                </w:p>
              </w:tc>
              <w:tc>
                <w:tcPr>
                  <w:tcW w:w="996" w:type="pct"/>
                  <w:shd w:val="clear" w:color="auto" w:fill="74A9DA"/>
                </w:tcPr>
                <w:p w14:paraId="036D16FA"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-325 309</w:t>
                  </w:r>
                </w:p>
              </w:tc>
              <w:tc>
                <w:tcPr>
                  <w:tcW w:w="885" w:type="pct"/>
                  <w:shd w:val="clear" w:color="auto" w:fill="FFD966" w:themeFill="accent4" w:themeFillTint="99"/>
                </w:tcPr>
                <w:p w14:paraId="0B1739C2"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61623</w:t>
                  </w:r>
                </w:p>
              </w:tc>
              <w:tc>
                <w:tcPr>
                  <w:tcW w:w="1064" w:type="pct"/>
                  <w:shd w:val="clear" w:color="auto" w:fill="A8D08D" w:themeFill="accent6" w:themeFillTint="99"/>
                </w:tcPr>
                <w:p w14:paraId="150F7F27"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25719</w:t>
                  </w:r>
                </w:p>
              </w:tc>
              <w:tc>
                <w:tcPr>
                  <w:tcW w:w="899" w:type="pct"/>
                  <w:shd w:val="clear" w:color="auto" w:fill="FFAFAF"/>
                </w:tcPr>
                <w:p w14:paraId="0E8DAD13" w14:textId="77777777" w:rsidR="00C03EC4" w:rsidRPr="002E75D4" w:rsidRDefault="00C03EC4" w:rsidP="000D6136">
                  <w:pPr>
                    <w:contextualSpacing/>
                    <w:rPr>
                      <w:rFonts w:asciiTheme="majorHAnsi" w:hAnsiTheme="majorHAnsi" w:cstheme="majorHAnsi"/>
                    </w:rPr>
                  </w:pPr>
                  <w:r w:rsidRPr="002E75D4">
                    <w:rPr>
                      <w:rFonts w:asciiTheme="majorHAnsi" w:hAnsiTheme="majorHAnsi" w:cstheme="majorHAnsi"/>
                    </w:rPr>
                    <w:t>-237 967</w:t>
                  </w:r>
                </w:p>
              </w:tc>
            </w:tr>
          </w:tbl>
          <w:p w14:paraId="5756CDB8"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C03EC4" w:rsidRPr="002E75D4" w14:paraId="3F483E62" w14:textId="77777777" w:rsidTr="000D6136">
        <w:trPr>
          <w:trHeight w:val="257"/>
        </w:trPr>
        <w:tc>
          <w:tcPr>
            <w:cnfStyle w:val="001000000000" w:firstRow="0" w:lastRow="0" w:firstColumn="1" w:lastColumn="0" w:oddVBand="0" w:evenVBand="0" w:oddHBand="0" w:evenHBand="0" w:firstRowFirstColumn="0" w:firstRowLastColumn="0" w:lastRowFirstColumn="0" w:lastRowLastColumn="0"/>
            <w:tcW w:w="1838" w:type="pct"/>
            <w:shd w:val="clear" w:color="auto" w:fill="B4C6E7" w:themeFill="accent1" w:themeFillTint="66"/>
            <w:hideMark/>
          </w:tcPr>
          <w:p w14:paraId="17329BA9" w14:textId="77777777" w:rsidR="00C03EC4" w:rsidRPr="002E75D4" w:rsidRDefault="00C03EC4" w:rsidP="000D6136">
            <w:pPr>
              <w:jc w:val="both"/>
              <w:rPr>
                <w:rFonts w:asciiTheme="majorHAnsi" w:hAnsiTheme="majorHAnsi" w:cstheme="majorHAnsi"/>
                <w:b w:val="0"/>
                <w:color w:val="auto"/>
                <w:lang w:eastAsia="en-GB"/>
              </w:rPr>
            </w:pPr>
            <w:r w:rsidRPr="002E75D4">
              <w:rPr>
                <w:rFonts w:asciiTheme="majorHAnsi" w:hAnsiTheme="majorHAnsi" w:cstheme="majorHAnsi"/>
                <w:b w:val="0"/>
                <w:color w:val="auto"/>
                <w:lang w:eastAsia="en-GB"/>
              </w:rPr>
              <w:t>Une cible par rapport à l’indicateur de référence, exprimée numériquement, par exemple en pourcentage ou en montant de réduction</w:t>
            </w:r>
          </w:p>
        </w:tc>
        <w:tc>
          <w:tcPr>
            <w:tcW w:w="3162" w:type="pct"/>
            <w:shd w:val="clear" w:color="auto" w:fill="D9D9D9" w:themeFill="background1" w:themeFillShade="D9"/>
          </w:tcPr>
          <w:p w14:paraId="0B8A52BA"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 en 2030 de réduction des GES du scénario d’atténuation / scénario de base :</w:t>
            </w:r>
          </w:p>
          <w:p w14:paraId="5494631D"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Secteur énergie : 31%</w:t>
            </w:r>
          </w:p>
          <w:p w14:paraId="5BAB3C8E"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Secteur Agriculture+chgtAT : 25%</w:t>
            </w:r>
          </w:p>
          <w:p w14:paraId="533EF870"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Secteur Forets : 39%</w:t>
            </w:r>
          </w:p>
          <w:p w14:paraId="31CDCD43"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Secteur Déchets : 31%</w:t>
            </w:r>
          </w:p>
        </w:tc>
      </w:tr>
      <w:tr w:rsidR="00C03EC4" w:rsidRPr="002E75D4" w14:paraId="44C83A29" w14:textId="77777777" w:rsidTr="000D613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8" w:type="pct"/>
            <w:shd w:val="clear" w:color="auto" w:fill="D9E2F3" w:themeFill="accent1" w:themeFillTint="33"/>
          </w:tcPr>
          <w:p w14:paraId="518E1489" w14:textId="77777777" w:rsidR="00C03EC4" w:rsidRPr="002E75D4" w:rsidRDefault="00C03EC4" w:rsidP="000D6136">
            <w:pPr>
              <w:jc w:val="both"/>
              <w:rPr>
                <w:rFonts w:asciiTheme="majorHAnsi" w:hAnsiTheme="majorHAnsi" w:cstheme="majorHAnsi"/>
                <w:b w:val="0"/>
                <w:color w:val="auto"/>
                <w:lang w:eastAsia="en-GB"/>
              </w:rPr>
            </w:pPr>
            <w:r w:rsidRPr="002E75D4">
              <w:rPr>
                <w:rStyle w:val="jlqj4b"/>
                <w:rFonts w:asciiTheme="majorHAnsi" w:hAnsiTheme="majorHAnsi" w:cstheme="majorHAnsi"/>
                <w:b w:val="0"/>
                <w:color w:val="auto"/>
              </w:rPr>
              <w:t>Paramètres utilisés pour formuler la contribution d'atténuation</w:t>
            </w:r>
          </w:p>
        </w:tc>
        <w:tc>
          <w:tcPr>
            <w:tcW w:w="3162" w:type="pct"/>
            <w:shd w:val="clear" w:color="auto" w:fill="F2F2F2" w:themeFill="background1" w:themeFillShade="F2"/>
          </w:tcPr>
          <w:p w14:paraId="52B6AAED"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Emissions des GES en Kilo-Tonnes Equivalent CO2 pour chacun des secteurs et chacun des gaz</w:t>
            </w:r>
          </w:p>
        </w:tc>
      </w:tr>
      <w:tr w:rsidR="00C03EC4" w:rsidRPr="002E75D4" w14:paraId="527664C8" w14:textId="77777777" w:rsidTr="000D6136">
        <w:trPr>
          <w:trHeight w:val="257"/>
        </w:trPr>
        <w:tc>
          <w:tcPr>
            <w:cnfStyle w:val="001000000000" w:firstRow="0" w:lastRow="0" w:firstColumn="1" w:lastColumn="0" w:oddVBand="0" w:evenVBand="0" w:oddHBand="0" w:evenHBand="0" w:firstRowFirstColumn="0" w:firstRowLastColumn="0" w:lastRowFirstColumn="0" w:lastRowLastColumn="0"/>
            <w:tcW w:w="1838" w:type="pct"/>
            <w:shd w:val="clear" w:color="auto" w:fill="B4C6E7" w:themeFill="accent1" w:themeFillTint="66"/>
          </w:tcPr>
          <w:p w14:paraId="506C1E98" w14:textId="77777777" w:rsidR="00C03EC4" w:rsidRPr="002E75D4" w:rsidRDefault="00C03EC4" w:rsidP="000D6136">
            <w:pPr>
              <w:jc w:val="both"/>
              <w:rPr>
                <w:rFonts w:asciiTheme="majorHAnsi" w:hAnsiTheme="majorHAnsi" w:cstheme="majorHAnsi"/>
                <w:b w:val="0"/>
                <w:color w:val="auto"/>
                <w:lang w:eastAsia="en-GB"/>
              </w:rPr>
            </w:pPr>
            <w:r w:rsidRPr="002E75D4">
              <w:rPr>
                <w:rStyle w:val="jlqj4b"/>
                <w:rFonts w:asciiTheme="majorHAnsi" w:hAnsiTheme="majorHAnsi" w:cstheme="majorHAnsi"/>
                <w:b w:val="0"/>
                <w:color w:val="auto"/>
              </w:rPr>
              <w:t>Indicateurs utilisés pour quantifier le point de référence (métriques, données sources, valeurs)</w:t>
            </w:r>
            <w:r w:rsidRPr="002E75D4">
              <w:rPr>
                <w:rFonts w:asciiTheme="majorHAnsi" w:hAnsiTheme="majorHAnsi" w:cstheme="majorHAnsi"/>
                <w:b w:val="0"/>
                <w:color w:val="auto"/>
              </w:rPr>
              <w:t>.</w:t>
            </w:r>
          </w:p>
        </w:tc>
        <w:tc>
          <w:tcPr>
            <w:tcW w:w="3162" w:type="pct"/>
            <w:shd w:val="clear" w:color="auto" w:fill="D9D9D9" w:themeFill="background1" w:themeFillShade="D9"/>
          </w:tcPr>
          <w:p w14:paraId="5EDE960B"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Valeur des émissions, des séquestrations et des émissions évitées en Kilo-Tonnes Equivalent CO2 par secteur et globale</w:t>
            </w:r>
          </w:p>
          <w:p w14:paraId="1C2F0242"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En 2019 : 436,12 KT Eq CO2 (CDN page25)</w:t>
            </w:r>
          </w:p>
        </w:tc>
      </w:tr>
      <w:tr w:rsidR="00C03EC4" w:rsidRPr="002E75D4" w14:paraId="47A4472E" w14:textId="77777777" w:rsidTr="000D613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8" w:type="pct"/>
            <w:shd w:val="clear" w:color="auto" w:fill="D9E2F3" w:themeFill="accent1" w:themeFillTint="33"/>
            <w:hideMark/>
          </w:tcPr>
          <w:p w14:paraId="23053F73" w14:textId="77777777" w:rsidR="00C03EC4" w:rsidRPr="002E75D4" w:rsidRDefault="00C03EC4" w:rsidP="000D6136">
            <w:pPr>
              <w:jc w:val="both"/>
              <w:rPr>
                <w:rFonts w:asciiTheme="majorHAnsi" w:hAnsiTheme="majorHAnsi" w:cstheme="majorHAnsi"/>
                <w:b w:val="0"/>
                <w:color w:val="auto"/>
                <w:lang w:eastAsia="en-GB"/>
              </w:rPr>
            </w:pPr>
            <w:r w:rsidRPr="002E75D4">
              <w:rPr>
                <w:rFonts w:asciiTheme="majorHAnsi" w:hAnsiTheme="majorHAnsi" w:cstheme="majorHAnsi"/>
                <w:b w:val="0"/>
                <w:color w:val="auto"/>
                <w:lang w:eastAsia="en-GB"/>
              </w:rPr>
              <w:t>Informations sur les sources de données utilisées pour quantifier le(s) point(s) de référence</w:t>
            </w:r>
          </w:p>
        </w:tc>
        <w:tc>
          <w:tcPr>
            <w:tcW w:w="3162" w:type="pct"/>
            <w:shd w:val="clear" w:color="auto" w:fill="F2F2F2" w:themeFill="background1" w:themeFillShade="F2"/>
          </w:tcPr>
          <w:p w14:paraId="1B5FDCBF" w14:textId="77777777" w:rsidR="00C03EC4" w:rsidRPr="002E75D4" w:rsidRDefault="00C03EC4" w:rsidP="000D613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Les sources de données utilisées pour quantifier la période de référence sont les inventaires nationaux de GES  élaborés par les projets  TCN et BUR1</w:t>
            </w:r>
          </w:p>
        </w:tc>
      </w:tr>
      <w:tr w:rsidR="00C03EC4" w:rsidRPr="002E75D4" w14:paraId="1493EE16" w14:textId="77777777" w:rsidTr="000D6136">
        <w:trPr>
          <w:trHeight w:val="257"/>
        </w:trPr>
        <w:tc>
          <w:tcPr>
            <w:cnfStyle w:val="001000000000" w:firstRow="0" w:lastRow="0" w:firstColumn="1" w:lastColumn="0" w:oddVBand="0" w:evenVBand="0" w:oddHBand="0" w:evenHBand="0" w:firstRowFirstColumn="0" w:firstRowLastColumn="0" w:lastRowFirstColumn="0" w:lastRowLastColumn="0"/>
            <w:tcW w:w="1838" w:type="pct"/>
            <w:shd w:val="clear" w:color="auto" w:fill="B4C6E7" w:themeFill="accent1" w:themeFillTint="66"/>
            <w:hideMark/>
          </w:tcPr>
          <w:p w14:paraId="044B879B" w14:textId="77777777" w:rsidR="00C03EC4" w:rsidRPr="002E75D4" w:rsidRDefault="00C03EC4" w:rsidP="000D6136">
            <w:pPr>
              <w:jc w:val="both"/>
              <w:rPr>
                <w:rFonts w:asciiTheme="majorHAnsi" w:hAnsiTheme="majorHAnsi" w:cstheme="majorHAnsi"/>
                <w:b w:val="0"/>
                <w:color w:val="auto"/>
                <w:lang w:eastAsia="en-GB"/>
              </w:rPr>
            </w:pPr>
            <w:r w:rsidRPr="002E75D4">
              <w:rPr>
                <w:rFonts w:asciiTheme="majorHAnsi" w:hAnsiTheme="majorHAnsi" w:cstheme="majorHAnsi"/>
                <w:b w:val="0"/>
                <w:color w:val="auto"/>
                <w:lang w:eastAsia="en-GB"/>
              </w:rPr>
              <w:t>Informations sur les circonstances dans lesquelles la Partie peut mettre à jour les valeurs des indicateurs de référence</w:t>
            </w:r>
          </w:p>
        </w:tc>
        <w:tc>
          <w:tcPr>
            <w:tcW w:w="3162" w:type="pct"/>
            <w:shd w:val="clear" w:color="auto" w:fill="D9D9D9" w:themeFill="background1" w:themeFillShade="D9"/>
          </w:tcPr>
          <w:p w14:paraId="609DFB41"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Le scénario de base sera être mis à jour : avec l’inventaire national de GES dans le cadre des projets en perspective : BUR2 et  4me Communication Nationale.</w:t>
            </w:r>
          </w:p>
          <w:p w14:paraId="27BCE46D" w14:textId="77777777" w:rsidR="00C03EC4" w:rsidRPr="002E75D4" w:rsidRDefault="00C03EC4" w:rsidP="000D613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E75D4">
              <w:rPr>
                <w:rFonts w:asciiTheme="majorHAnsi" w:hAnsiTheme="majorHAnsi" w:cstheme="majorHAnsi"/>
              </w:rPr>
              <w:t>L’inventaire national de GES à travers la production du rapport BUR qui se baserait sur les mises à jour des données. il faut rappeler dans le cadre de la révision de la CDN, le rapport BUR de 2019 a fait l’effort de mise à jour des données relative au scenario de base de 2015 jusqu’à 2018 et cela conformément aux directives du GIEC. Cet effort acquis a été capitalisé et valorisé dans le cadre de la révision</w:t>
            </w:r>
          </w:p>
        </w:tc>
      </w:tr>
    </w:tbl>
    <w:p w14:paraId="0A217639" w14:textId="77777777" w:rsidR="00C03EC4" w:rsidRPr="002E75D4" w:rsidRDefault="00C03EC4" w:rsidP="00C03EC4">
      <w:pPr>
        <w:jc w:val="both"/>
        <w:rPr>
          <w:rFonts w:asciiTheme="majorHAnsi" w:hAnsiTheme="majorHAnsi" w:cstheme="majorHAnsi"/>
        </w:rPr>
      </w:pPr>
    </w:p>
    <w:tbl>
      <w:tblPr>
        <w:tblStyle w:val="Grillemoyenne3-Accent1"/>
        <w:tblW w:w="5000" w:type="pct"/>
        <w:tblLook w:val="04A0" w:firstRow="1" w:lastRow="0" w:firstColumn="1" w:lastColumn="0" w:noHBand="0" w:noVBand="1"/>
      </w:tblPr>
      <w:tblGrid>
        <w:gridCol w:w="7866"/>
        <w:gridCol w:w="1753"/>
      </w:tblGrid>
      <w:tr w:rsidR="00C03EC4" w:rsidRPr="002E75D4" w14:paraId="491B8300" w14:textId="77777777" w:rsidTr="000D6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2060"/>
            <w:hideMark/>
          </w:tcPr>
          <w:p w14:paraId="40C10CF9" w14:textId="77777777" w:rsidR="00C03EC4" w:rsidRPr="002E75D4" w:rsidRDefault="00C03EC4" w:rsidP="000D6136">
            <w:pPr>
              <w:jc w:val="center"/>
              <w:rPr>
                <w:color w:val="auto"/>
              </w:rPr>
            </w:pPr>
            <w:r w:rsidRPr="002E75D4">
              <w:rPr>
                <w:rStyle w:val="jlqj4b"/>
                <w:rFonts w:asciiTheme="majorHAnsi" w:hAnsiTheme="majorHAnsi" w:cstheme="majorHAnsi"/>
                <w:color w:val="auto"/>
                <w:sz w:val="28"/>
              </w:rPr>
              <w:t>2 Délais de mise en œuvre</w:t>
            </w:r>
          </w:p>
        </w:tc>
      </w:tr>
      <w:tr w:rsidR="00C03EC4" w:rsidRPr="002E75D4" w14:paraId="74287229" w14:textId="77777777" w:rsidTr="000D613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89" w:type="pct"/>
            <w:shd w:val="clear" w:color="auto" w:fill="D9E2F3" w:themeFill="accent1" w:themeFillTint="33"/>
            <w:hideMark/>
          </w:tcPr>
          <w:p w14:paraId="3F7D68F9" w14:textId="77777777" w:rsidR="00C03EC4" w:rsidRPr="002E75D4" w:rsidRDefault="00C03EC4" w:rsidP="000D6136">
            <w:pPr>
              <w:rPr>
                <w:rFonts w:asciiTheme="majorHAnsi" w:hAnsiTheme="majorHAnsi" w:cstheme="majorHAnsi"/>
                <w:color w:val="auto"/>
                <w:lang w:eastAsia="en-GB"/>
              </w:rPr>
            </w:pPr>
            <w:r w:rsidRPr="002E75D4">
              <w:rPr>
                <w:rFonts w:asciiTheme="majorHAnsi" w:hAnsiTheme="majorHAnsi" w:cstheme="majorHAnsi"/>
                <w:color w:val="auto"/>
                <w:lang w:eastAsia="en-GB"/>
              </w:rPr>
              <w:t>Le calendrier et/ou la période de mise en œuvre, y compris les dates de début et de fin, conformément à toute autre décision pertinente adoptée par la Conférence des Parties agissant comme réunion des Parties à l’Accord de Paris (CMA)</w:t>
            </w:r>
          </w:p>
        </w:tc>
        <w:tc>
          <w:tcPr>
            <w:tcW w:w="911" w:type="pct"/>
            <w:shd w:val="clear" w:color="auto" w:fill="F2F2F2" w:themeFill="background1" w:themeFillShade="F2"/>
          </w:tcPr>
          <w:p w14:paraId="4930E75B" w14:textId="77777777" w:rsidR="00C03EC4" w:rsidRPr="002E75D4" w:rsidRDefault="00C03EC4" w:rsidP="000D613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2020 - 2030</w:t>
            </w:r>
          </w:p>
        </w:tc>
      </w:tr>
      <w:tr w:rsidR="00C03EC4" w:rsidRPr="002E75D4" w14:paraId="5A8EBEBE" w14:textId="77777777" w:rsidTr="000D6136">
        <w:trPr>
          <w:trHeight w:val="257"/>
        </w:trPr>
        <w:tc>
          <w:tcPr>
            <w:cnfStyle w:val="001000000000" w:firstRow="0" w:lastRow="0" w:firstColumn="1" w:lastColumn="0" w:oddVBand="0" w:evenVBand="0" w:oddHBand="0" w:evenHBand="0" w:firstRowFirstColumn="0" w:firstRowLastColumn="0" w:lastRowFirstColumn="0" w:lastRowLastColumn="0"/>
            <w:tcW w:w="4089" w:type="pct"/>
            <w:shd w:val="clear" w:color="auto" w:fill="8EAADB" w:themeFill="accent1" w:themeFillTint="99"/>
            <w:hideMark/>
          </w:tcPr>
          <w:p w14:paraId="4EB08282" w14:textId="77777777" w:rsidR="00C03EC4" w:rsidRPr="002E75D4" w:rsidRDefault="00C03EC4" w:rsidP="000D6136">
            <w:pPr>
              <w:rPr>
                <w:rFonts w:asciiTheme="majorHAnsi" w:hAnsiTheme="majorHAnsi" w:cstheme="majorHAnsi"/>
                <w:color w:val="auto"/>
                <w:lang w:eastAsia="en-GB"/>
              </w:rPr>
            </w:pPr>
            <w:r w:rsidRPr="002E75D4">
              <w:rPr>
                <w:rFonts w:asciiTheme="majorHAnsi" w:hAnsiTheme="majorHAnsi" w:cstheme="majorHAnsi"/>
                <w:color w:val="auto"/>
                <w:lang w:eastAsia="en-GB"/>
              </w:rPr>
              <w:t>Qu’il s’agisse d’un objectif annuel ou pluriannuel, selon le cas</w:t>
            </w:r>
          </w:p>
        </w:tc>
        <w:tc>
          <w:tcPr>
            <w:tcW w:w="911" w:type="pct"/>
            <w:shd w:val="clear" w:color="auto" w:fill="D9D9D9" w:themeFill="background1" w:themeFillShade="D9"/>
          </w:tcPr>
          <w:p w14:paraId="648B998E" w14:textId="77777777" w:rsidR="00C03EC4" w:rsidRPr="002E75D4" w:rsidRDefault="00C03EC4" w:rsidP="000D613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2E75D4">
              <w:rPr>
                <w:rFonts w:asciiTheme="majorHAnsi" w:hAnsiTheme="majorHAnsi" w:cstheme="majorHAnsi"/>
                <w:b/>
              </w:rPr>
              <w:t>2030</w:t>
            </w:r>
          </w:p>
        </w:tc>
      </w:tr>
    </w:tbl>
    <w:p w14:paraId="313856EA" w14:textId="77777777" w:rsidR="00C03EC4" w:rsidRPr="002E75D4" w:rsidRDefault="00C03EC4" w:rsidP="00C03EC4">
      <w:pPr>
        <w:jc w:val="both"/>
        <w:rPr>
          <w:rFonts w:asciiTheme="majorHAnsi" w:hAnsiTheme="majorHAnsi" w:cstheme="majorHAnsi"/>
        </w:rPr>
      </w:pPr>
    </w:p>
    <w:tbl>
      <w:tblPr>
        <w:tblStyle w:val="Grillemoyenne3-Accent1"/>
        <w:tblW w:w="5000" w:type="pct"/>
        <w:tblLook w:val="0420" w:firstRow="1" w:lastRow="0" w:firstColumn="0" w:lastColumn="0" w:noHBand="0" w:noVBand="1"/>
      </w:tblPr>
      <w:tblGrid>
        <w:gridCol w:w="3367"/>
        <w:gridCol w:w="6252"/>
      </w:tblGrid>
      <w:tr w:rsidR="00C03EC4" w:rsidRPr="002E75D4" w14:paraId="7F69BA3C" w14:textId="77777777" w:rsidTr="000D6136">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002060"/>
            <w:hideMark/>
          </w:tcPr>
          <w:p w14:paraId="596B2B51" w14:textId="77777777" w:rsidR="00C03EC4" w:rsidRPr="002E75D4" w:rsidRDefault="00C03EC4" w:rsidP="000D6136">
            <w:pPr>
              <w:rPr>
                <w:rFonts w:asciiTheme="majorHAnsi" w:hAnsiTheme="majorHAnsi" w:cstheme="majorHAnsi"/>
                <w:color w:val="auto"/>
                <w:sz w:val="28"/>
                <w:lang w:eastAsia="en-GB"/>
              </w:rPr>
            </w:pPr>
            <w:r w:rsidRPr="002E75D4">
              <w:rPr>
                <w:rFonts w:asciiTheme="majorHAnsi" w:hAnsiTheme="majorHAnsi" w:cstheme="majorHAnsi"/>
                <w:color w:val="auto"/>
                <w:sz w:val="28"/>
                <w:lang w:eastAsia="en-GB"/>
              </w:rPr>
              <w:t>3 Périmètre et couverture</w:t>
            </w:r>
          </w:p>
        </w:tc>
      </w:tr>
      <w:tr w:rsidR="00C03EC4" w:rsidRPr="002E75D4" w14:paraId="10DFE6AF" w14:textId="77777777" w:rsidTr="000D6136">
        <w:trPr>
          <w:cnfStyle w:val="000000100000" w:firstRow="0" w:lastRow="0" w:firstColumn="0" w:lastColumn="0" w:oddVBand="0" w:evenVBand="0" w:oddHBand="1" w:evenHBand="0" w:firstRowFirstColumn="0" w:firstRowLastColumn="0" w:lastRowFirstColumn="0" w:lastRowLastColumn="0"/>
        </w:trPr>
        <w:tc>
          <w:tcPr>
            <w:tcW w:w="5000" w:type="pct"/>
            <w:gridSpan w:val="2"/>
            <w:shd w:val="clear" w:color="auto" w:fill="D9D9D9" w:themeFill="background1" w:themeFillShade="D9"/>
          </w:tcPr>
          <w:p w14:paraId="161A7AA6" w14:textId="77777777" w:rsidR="00C03EC4" w:rsidRPr="002E75D4" w:rsidRDefault="00C03EC4" w:rsidP="000D6136">
            <w:pPr>
              <w:jc w:val="both"/>
              <w:rPr>
                <w:rFonts w:asciiTheme="majorHAnsi" w:hAnsiTheme="majorHAnsi" w:cstheme="majorHAnsi"/>
                <w:lang w:eastAsia="en-GB"/>
              </w:rPr>
            </w:pPr>
            <w:r w:rsidRPr="002E75D4">
              <w:rPr>
                <w:rStyle w:val="jlqj4b"/>
                <w:rFonts w:asciiTheme="majorHAnsi" w:hAnsiTheme="majorHAnsi" w:cstheme="majorHAnsi"/>
              </w:rPr>
              <w:t>Couverture de la CDN en relation avec les orientations du GIEC sur les inventaires nationaux de gaz à effet de serre, y compris sur secteurs, gaz, catégories compris les catégories de terres, le cas échéant</w:t>
            </w:r>
          </w:p>
        </w:tc>
      </w:tr>
      <w:tr w:rsidR="00C03EC4" w:rsidRPr="002E75D4" w14:paraId="32641BEE" w14:textId="77777777" w:rsidTr="000D6136">
        <w:tc>
          <w:tcPr>
            <w:tcW w:w="1750" w:type="pct"/>
          </w:tcPr>
          <w:p w14:paraId="78A179C6" w14:textId="77777777" w:rsidR="00C03EC4" w:rsidRPr="002E75D4" w:rsidRDefault="00C03EC4" w:rsidP="000D6136">
            <w:pPr>
              <w:jc w:val="both"/>
              <w:rPr>
                <w:rFonts w:asciiTheme="majorHAnsi" w:hAnsiTheme="majorHAnsi" w:cstheme="majorHAnsi"/>
                <w:b/>
                <w:lang w:eastAsia="en-GB"/>
              </w:rPr>
            </w:pPr>
            <w:r w:rsidRPr="002E75D4">
              <w:rPr>
                <w:rFonts w:cstheme="minorHAnsi"/>
                <w:b/>
                <w:lang w:eastAsia="en-GB"/>
              </w:rPr>
              <w:t xml:space="preserve">a </w:t>
            </w:r>
            <w:r w:rsidRPr="002E75D4">
              <w:rPr>
                <w:rFonts w:asciiTheme="majorHAnsi" w:hAnsiTheme="majorHAnsi" w:cstheme="majorHAnsi"/>
                <w:b/>
                <w:lang w:eastAsia="en-GB"/>
              </w:rPr>
              <w:t xml:space="preserve">Une description générale de la cible </w:t>
            </w:r>
          </w:p>
        </w:tc>
        <w:tc>
          <w:tcPr>
            <w:tcW w:w="3250" w:type="pct"/>
            <w:shd w:val="clear" w:color="auto" w:fill="F2F2F2" w:themeFill="background1" w:themeFillShade="F2"/>
          </w:tcPr>
          <w:p w14:paraId="65C99597" w14:textId="77777777" w:rsidR="00C03EC4" w:rsidRPr="002E75D4" w:rsidRDefault="00C03EC4" w:rsidP="000D6136">
            <w:pPr>
              <w:pStyle w:val="Body2"/>
              <w:numPr>
                <w:ilvl w:val="0"/>
                <w:numId w:val="2"/>
              </w:numPr>
              <w:spacing w:before="120" w:after="0" w:line="276" w:lineRule="auto"/>
              <w:ind w:left="0"/>
              <w:rPr>
                <w:rFonts w:asciiTheme="majorHAnsi" w:hAnsiTheme="majorHAnsi" w:cstheme="majorHAnsi"/>
                <w:sz w:val="24"/>
                <w:szCs w:val="24"/>
              </w:rPr>
            </w:pPr>
            <w:r w:rsidRPr="002E75D4">
              <w:rPr>
                <w:rFonts w:asciiTheme="majorHAnsi" w:hAnsiTheme="majorHAnsi" w:cstheme="majorHAnsi"/>
                <w:sz w:val="24"/>
                <w:szCs w:val="24"/>
              </w:rPr>
              <w:t>Le scénario de base résulte de prévisions reflétant la tendance normale du développement du Mali). Il résulte de la mise en œuvre des politiques et stratégies nationales</w:t>
            </w:r>
          </w:p>
          <w:p w14:paraId="017CBB05" w14:textId="77777777" w:rsidR="00C03EC4" w:rsidRPr="002E75D4" w:rsidRDefault="00C03EC4" w:rsidP="000D6136">
            <w:pPr>
              <w:pStyle w:val="Body2"/>
              <w:numPr>
                <w:ilvl w:val="0"/>
                <w:numId w:val="2"/>
              </w:numPr>
              <w:spacing w:before="120" w:after="0" w:line="276" w:lineRule="auto"/>
              <w:ind w:left="0"/>
              <w:rPr>
                <w:rFonts w:asciiTheme="majorHAnsi" w:hAnsiTheme="majorHAnsi" w:cstheme="majorHAnsi"/>
                <w:sz w:val="24"/>
                <w:szCs w:val="24"/>
              </w:rPr>
            </w:pPr>
            <w:r w:rsidRPr="002E75D4">
              <w:rPr>
                <w:rFonts w:asciiTheme="majorHAnsi" w:hAnsiTheme="majorHAnsi" w:cstheme="majorHAnsi"/>
                <w:sz w:val="24"/>
                <w:szCs w:val="24"/>
              </w:rPr>
              <w:t xml:space="preserve"> </w:t>
            </w:r>
            <w:r w:rsidRPr="002E75D4">
              <w:rPr>
                <w:rFonts w:asciiTheme="majorHAnsi" w:eastAsia="MS PGothic" w:hAnsiTheme="majorHAnsi" w:cstheme="majorHAnsi"/>
                <w:sz w:val="24"/>
                <w:szCs w:val="24"/>
              </w:rPr>
              <w:t>le scénario d’atténuation est un scénario plus ambitieux afin de réduire les émissions de GES au cours de la période 2020–2030.). Ce scénario a été élaboré, après concertation des secteurs non étatiques, par les réunions de concertation sectorielles en intégrant des programmes et des projets qui 1/ sont conformes aux orientations des politiques nationales et 2/ comprennent des actions particulièrement favorables au climat</w:t>
            </w:r>
          </w:p>
          <w:p w14:paraId="291F5748" w14:textId="77777777" w:rsidR="00C03EC4" w:rsidRPr="002E75D4" w:rsidRDefault="00C03EC4" w:rsidP="000D6136">
            <w:pPr>
              <w:jc w:val="both"/>
              <w:rPr>
                <w:rFonts w:asciiTheme="majorHAnsi" w:hAnsiTheme="majorHAnsi" w:cstheme="majorHAnsi"/>
              </w:rPr>
            </w:pPr>
            <w:r w:rsidRPr="002E75D4">
              <w:rPr>
                <w:rFonts w:asciiTheme="majorHAnsi" w:hAnsiTheme="majorHAnsi" w:cstheme="majorHAnsi"/>
              </w:rPr>
              <w:t xml:space="preserve">La cible de chaque secteur est conditionnelle </w:t>
            </w:r>
          </w:p>
        </w:tc>
      </w:tr>
      <w:tr w:rsidR="00C03EC4" w:rsidRPr="002E75D4" w14:paraId="6DBD66B1" w14:textId="77777777" w:rsidTr="000D6136">
        <w:trPr>
          <w:cnfStyle w:val="000000100000" w:firstRow="0" w:lastRow="0" w:firstColumn="0" w:lastColumn="0" w:oddVBand="0" w:evenVBand="0" w:oddHBand="1" w:evenHBand="0" w:firstRowFirstColumn="0" w:firstRowLastColumn="0" w:lastRowFirstColumn="0" w:lastRowLastColumn="0"/>
        </w:trPr>
        <w:tc>
          <w:tcPr>
            <w:tcW w:w="1750" w:type="pct"/>
          </w:tcPr>
          <w:p w14:paraId="45905656" w14:textId="77777777" w:rsidR="00C03EC4" w:rsidRPr="002E75D4" w:rsidRDefault="00C03EC4" w:rsidP="000D6136">
            <w:pPr>
              <w:spacing w:after="160" w:line="259" w:lineRule="auto"/>
              <w:jc w:val="both"/>
              <w:rPr>
                <w:rFonts w:asciiTheme="majorHAnsi" w:hAnsiTheme="majorHAnsi" w:cstheme="majorHAnsi"/>
                <w:b/>
              </w:rPr>
            </w:pPr>
            <w:r w:rsidRPr="002E75D4">
              <w:rPr>
                <w:rFonts w:cstheme="minorHAnsi"/>
                <w:b/>
              </w:rPr>
              <w:t>b.</w:t>
            </w:r>
            <w:r w:rsidRPr="002E75D4">
              <w:rPr>
                <w:rFonts w:asciiTheme="majorHAnsi" w:hAnsiTheme="majorHAnsi" w:cstheme="majorHAnsi"/>
                <w:b/>
              </w:rPr>
              <w:t xml:space="preserve">       Les secteurs, gaz, catégories et réservoirs visés par la contribution déterminée au niveau national, y compris, le cas échéant, conformément aux lignes directrices du Groupe d’experts intergouvernemental sur l’évolution du climat (GIEC)</w:t>
            </w:r>
          </w:p>
          <w:p w14:paraId="4D4CED68" w14:textId="77777777" w:rsidR="00C03EC4" w:rsidRPr="002E75D4" w:rsidRDefault="00C03EC4" w:rsidP="000D6136">
            <w:pPr>
              <w:spacing w:after="160" w:line="259" w:lineRule="auto"/>
              <w:jc w:val="left"/>
              <w:rPr>
                <w:rFonts w:asciiTheme="majorHAnsi" w:hAnsiTheme="majorHAnsi" w:cstheme="majorHAnsi"/>
                <w:b/>
              </w:rPr>
            </w:pPr>
            <w:r w:rsidRPr="002E75D4">
              <w:rPr>
                <w:rFonts w:cstheme="minorHAnsi"/>
                <w:b/>
              </w:rPr>
              <w:t>c.</w:t>
            </w:r>
            <w:r w:rsidRPr="002E75D4">
              <w:rPr>
                <w:rFonts w:asciiTheme="majorHAnsi" w:hAnsiTheme="majorHAnsi" w:cstheme="majorHAnsi"/>
                <w:b/>
              </w:rPr>
              <w:t xml:space="preserve">        La façon dont la Partie a pris en considération les alinéas c) et d) du paragraphe 31 de la décision 1/CP.21</w:t>
            </w:r>
          </w:p>
        </w:tc>
        <w:tc>
          <w:tcPr>
            <w:tcW w:w="3250" w:type="pct"/>
            <w:shd w:val="clear" w:color="auto" w:fill="D9D9D9" w:themeFill="background1" w:themeFillShade="D9"/>
            <w:hideMark/>
          </w:tcPr>
          <w:p w14:paraId="1B3C8DF1"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Les secteurs et gaz visés par la CDN actualisée sont les suivants :</w:t>
            </w:r>
          </w:p>
          <w:tbl>
            <w:tblPr>
              <w:tblStyle w:val="Grillemoyenne3-Accent1"/>
              <w:tblW w:w="5000" w:type="pct"/>
              <w:tblLook w:val="0420" w:firstRow="1" w:lastRow="0" w:firstColumn="0" w:lastColumn="0" w:noHBand="0" w:noVBand="1"/>
            </w:tblPr>
            <w:tblGrid>
              <w:gridCol w:w="3362"/>
              <w:gridCol w:w="2654"/>
            </w:tblGrid>
            <w:tr w:rsidR="00C03EC4" w:rsidRPr="002E75D4" w14:paraId="224F5D1B" w14:textId="77777777" w:rsidTr="000D6136">
              <w:trPr>
                <w:cnfStyle w:val="100000000000" w:firstRow="1" w:lastRow="0" w:firstColumn="0" w:lastColumn="0" w:oddVBand="0" w:evenVBand="0" w:oddHBand="0" w:evenHBand="0" w:firstRowFirstColumn="0" w:firstRowLastColumn="0" w:lastRowFirstColumn="0" w:lastRowLastColumn="0"/>
              </w:trPr>
              <w:tc>
                <w:tcPr>
                  <w:tcW w:w="2794" w:type="pct"/>
                  <w:shd w:val="clear" w:color="auto" w:fill="002060"/>
                  <w:hideMark/>
                </w:tcPr>
                <w:p w14:paraId="7D1E243F" w14:textId="77777777" w:rsidR="00C03EC4" w:rsidRPr="002E75D4" w:rsidRDefault="00C03EC4" w:rsidP="000D6136">
                  <w:pPr>
                    <w:spacing w:after="160" w:line="259" w:lineRule="auto"/>
                    <w:contextualSpacing/>
                    <w:rPr>
                      <w:rFonts w:asciiTheme="majorHAnsi" w:hAnsiTheme="majorHAnsi" w:cstheme="majorHAnsi"/>
                      <w:color w:val="auto"/>
                    </w:rPr>
                  </w:pPr>
                  <w:r w:rsidRPr="002E75D4">
                    <w:rPr>
                      <w:rFonts w:asciiTheme="majorHAnsi" w:hAnsiTheme="majorHAnsi" w:cstheme="majorHAnsi"/>
                      <w:color w:val="auto"/>
                    </w:rPr>
                    <w:t>Secteurs</w:t>
                  </w:r>
                </w:p>
              </w:tc>
              <w:tc>
                <w:tcPr>
                  <w:tcW w:w="2206" w:type="pct"/>
                  <w:shd w:val="clear" w:color="auto" w:fill="C00000"/>
                  <w:hideMark/>
                </w:tcPr>
                <w:p w14:paraId="086192F4" w14:textId="77777777" w:rsidR="00C03EC4" w:rsidRPr="002E75D4" w:rsidRDefault="00C03EC4" w:rsidP="000D6136">
                  <w:pPr>
                    <w:spacing w:after="160" w:line="259" w:lineRule="auto"/>
                    <w:contextualSpacing/>
                    <w:rPr>
                      <w:rFonts w:asciiTheme="majorHAnsi" w:hAnsiTheme="majorHAnsi" w:cstheme="majorHAnsi"/>
                      <w:color w:val="auto"/>
                    </w:rPr>
                  </w:pPr>
                  <w:r w:rsidRPr="002E75D4">
                    <w:rPr>
                      <w:rFonts w:asciiTheme="majorHAnsi" w:hAnsiTheme="majorHAnsi" w:cstheme="majorHAnsi"/>
                      <w:color w:val="auto"/>
                    </w:rPr>
                    <w:t>Gaz</w:t>
                  </w:r>
                </w:p>
              </w:tc>
            </w:tr>
            <w:tr w:rsidR="00C03EC4" w:rsidRPr="002E75D4" w14:paraId="5519DABD" w14:textId="77777777" w:rsidTr="000D6136">
              <w:trPr>
                <w:cnfStyle w:val="000000100000" w:firstRow="0" w:lastRow="0" w:firstColumn="0" w:lastColumn="0" w:oddVBand="0" w:evenVBand="0" w:oddHBand="1" w:evenHBand="0" w:firstRowFirstColumn="0" w:firstRowLastColumn="0" w:lastRowFirstColumn="0" w:lastRowLastColumn="0"/>
              </w:trPr>
              <w:tc>
                <w:tcPr>
                  <w:tcW w:w="2794" w:type="pct"/>
                </w:tcPr>
                <w:p w14:paraId="59B38CB4" w14:textId="77777777" w:rsidR="00C03EC4" w:rsidRPr="002E75D4" w:rsidRDefault="00C03EC4" w:rsidP="000D6136">
                  <w:pPr>
                    <w:spacing w:after="160" w:line="259" w:lineRule="auto"/>
                    <w:contextualSpacing/>
                    <w:jc w:val="both"/>
                    <w:rPr>
                      <w:rFonts w:asciiTheme="majorHAnsi" w:hAnsiTheme="majorHAnsi" w:cstheme="majorHAnsi"/>
                      <w:b/>
                    </w:rPr>
                  </w:pPr>
                  <w:r w:rsidRPr="002E75D4">
                    <w:rPr>
                      <w:rFonts w:asciiTheme="majorHAnsi" w:hAnsiTheme="majorHAnsi" w:cstheme="majorHAnsi"/>
                      <w:b/>
                    </w:rPr>
                    <w:t>Energie</w:t>
                  </w:r>
                </w:p>
              </w:tc>
              <w:tc>
                <w:tcPr>
                  <w:tcW w:w="2206" w:type="pct"/>
                  <w:shd w:val="clear" w:color="auto" w:fill="FFC5C5"/>
                </w:tcPr>
                <w:p w14:paraId="5829C28F" w14:textId="77777777" w:rsidR="00C03EC4" w:rsidRPr="002E75D4" w:rsidRDefault="00C03EC4" w:rsidP="000D6136">
                  <w:pPr>
                    <w:spacing w:after="160" w:line="259" w:lineRule="auto"/>
                    <w:contextualSpacing/>
                    <w:jc w:val="left"/>
                    <w:rPr>
                      <w:rFonts w:asciiTheme="majorHAnsi" w:hAnsiTheme="majorHAnsi" w:cstheme="majorHAnsi"/>
                      <w:b/>
                    </w:rPr>
                  </w:pPr>
                  <w:r w:rsidRPr="002E75D4">
                    <w:rPr>
                      <w:rFonts w:asciiTheme="majorHAnsi" w:hAnsiTheme="majorHAnsi" w:cstheme="majorHAnsi"/>
                      <w:b/>
                    </w:rPr>
                    <w:t>CO2, CH4, N2O</w:t>
                  </w:r>
                </w:p>
              </w:tc>
            </w:tr>
            <w:tr w:rsidR="00C03EC4" w:rsidRPr="002E75D4" w14:paraId="1AD62812" w14:textId="77777777" w:rsidTr="000D6136">
              <w:tc>
                <w:tcPr>
                  <w:tcW w:w="2794" w:type="pct"/>
                </w:tcPr>
                <w:p w14:paraId="5BE968FD" w14:textId="77777777" w:rsidR="00C03EC4" w:rsidRPr="002E75D4" w:rsidRDefault="00C03EC4" w:rsidP="000D6136">
                  <w:pPr>
                    <w:spacing w:after="160" w:line="259" w:lineRule="auto"/>
                    <w:contextualSpacing/>
                    <w:jc w:val="both"/>
                    <w:rPr>
                      <w:rFonts w:asciiTheme="majorHAnsi" w:hAnsiTheme="majorHAnsi" w:cstheme="majorHAnsi"/>
                      <w:b/>
                    </w:rPr>
                  </w:pPr>
                  <w:r w:rsidRPr="002E75D4">
                    <w:rPr>
                      <w:rFonts w:asciiTheme="majorHAnsi" w:hAnsiTheme="majorHAnsi" w:cstheme="majorHAnsi"/>
                      <w:b/>
                    </w:rPr>
                    <w:t>Agriculture</w:t>
                  </w:r>
                </w:p>
              </w:tc>
              <w:tc>
                <w:tcPr>
                  <w:tcW w:w="2206" w:type="pct"/>
                  <w:shd w:val="clear" w:color="auto" w:fill="FFEFEF"/>
                </w:tcPr>
                <w:p w14:paraId="246D9411" w14:textId="77777777" w:rsidR="00C03EC4" w:rsidRPr="002E75D4" w:rsidRDefault="00C03EC4" w:rsidP="000D6136">
                  <w:pPr>
                    <w:spacing w:after="160" w:line="259" w:lineRule="auto"/>
                    <w:contextualSpacing/>
                    <w:jc w:val="left"/>
                    <w:rPr>
                      <w:rFonts w:asciiTheme="majorHAnsi" w:hAnsiTheme="majorHAnsi" w:cstheme="majorHAnsi"/>
                      <w:b/>
                    </w:rPr>
                  </w:pPr>
                  <w:r w:rsidRPr="002E75D4">
                    <w:rPr>
                      <w:rFonts w:asciiTheme="majorHAnsi" w:hAnsiTheme="majorHAnsi" w:cstheme="majorHAnsi"/>
                      <w:b/>
                    </w:rPr>
                    <w:t>CH4, N2O</w:t>
                  </w:r>
                </w:p>
              </w:tc>
            </w:tr>
            <w:tr w:rsidR="00C03EC4" w:rsidRPr="002E75D4" w14:paraId="28BB0868" w14:textId="77777777" w:rsidTr="000D6136">
              <w:trPr>
                <w:cnfStyle w:val="000000100000" w:firstRow="0" w:lastRow="0" w:firstColumn="0" w:lastColumn="0" w:oddVBand="0" w:evenVBand="0" w:oddHBand="1" w:evenHBand="0" w:firstRowFirstColumn="0" w:firstRowLastColumn="0" w:lastRowFirstColumn="0" w:lastRowLastColumn="0"/>
              </w:trPr>
              <w:tc>
                <w:tcPr>
                  <w:tcW w:w="2794" w:type="pct"/>
                </w:tcPr>
                <w:p w14:paraId="24CBF07D" w14:textId="77777777" w:rsidR="00C03EC4" w:rsidRPr="002E75D4" w:rsidRDefault="00C03EC4" w:rsidP="000D6136">
                  <w:pPr>
                    <w:spacing w:after="160" w:line="259" w:lineRule="auto"/>
                    <w:contextualSpacing/>
                    <w:jc w:val="both"/>
                    <w:rPr>
                      <w:rFonts w:asciiTheme="majorHAnsi" w:hAnsiTheme="majorHAnsi" w:cstheme="majorHAnsi"/>
                      <w:b/>
                    </w:rPr>
                  </w:pPr>
                  <w:r w:rsidRPr="002E75D4">
                    <w:rPr>
                      <w:rFonts w:asciiTheme="majorHAnsi" w:hAnsiTheme="majorHAnsi" w:cstheme="majorHAnsi"/>
                      <w:b/>
                    </w:rPr>
                    <w:t>Forêt et Changement d’Affectation</w:t>
                  </w:r>
                </w:p>
              </w:tc>
              <w:tc>
                <w:tcPr>
                  <w:tcW w:w="2206" w:type="pct"/>
                  <w:shd w:val="clear" w:color="auto" w:fill="FFC5C5"/>
                </w:tcPr>
                <w:p w14:paraId="3ED5BCDC" w14:textId="77777777" w:rsidR="00C03EC4" w:rsidRPr="002E75D4" w:rsidRDefault="00C03EC4" w:rsidP="000D6136">
                  <w:pPr>
                    <w:spacing w:after="160" w:line="259" w:lineRule="auto"/>
                    <w:contextualSpacing/>
                    <w:jc w:val="left"/>
                    <w:rPr>
                      <w:rFonts w:asciiTheme="majorHAnsi" w:hAnsiTheme="majorHAnsi" w:cstheme="majorHAnsi"/>
                      <w:b/>
                    </w:rPr>
                  </w:pPr>
                  <w:r w:rsidRPr="002E75D4">
                    <w:rPr>
                      <w:rFonts w:asciiTheme="majorHAnsi" w:hAnsiTheme="majorHAnsi" w:cstheme="majorHAnsi"/>
                      <w:b/>
                    </w:rPr>
                    <w:t>CO2, CH4, N2O</w:t>
                  </w:r>
                </w:p>
              </w:tc>
            </w:tr>
            <w:tr w:rsidR="00C03EC4" w:rsidRPr="002E75D4" w14:paraId="50D8DE9F" w14:textId="77777777" w:rsidTr="000D6136">
              <w:tc>
                <w:tcPr>
                  <w:tcW w:w="2794" w:type="pct"/>
                </w:tcPr>
                <w:p w14:paraId="2A3E585F" w14:textId="77777777" w:rsidR="00C03EC4" w:rsidRPr="002E75D4" w:rsidRDefault="00C03EC4" w:rsidP="000D6136">
                  <w:pPr>
                    <w:spacing w:after="160" w:line="259" w:lineRule="auto"/>
                    <w:contextualSpacing/>
                    <w:jc w:val="both"/>
                    <w:rPr>
                      <w:rFonts w:asciiTheme="majorHAnsi" w:hAnsiTheme="majorHAnsi" w:cstheme="majorHAnsi"/>
                      <w:b/>
                    </w:rPr>
                  </w:pPr>
                  <w:r w:rsidRPr="002E75D4">
                    <w:rPr>
                      <w:rFonts w:asciiTheme="majorHAnsi" w:hAnsiTheme="majorHAnsi" w:cstheme="majorHAnsi"/>
                      <w:b/>
                    </w:rPr>
                    <w:t>Déchet</w:t>
                  </w:r>
                </w:p>
              </w:tc>
              <w:tc>
                <w:tcPr>
                  <w:tcW w:w="2206" w:type="pct"/>
                  <w:shd w:val="clear" w:color="auto" w:fill="FFEFEF"/>
                </w:tcPr>
                <w:p w14:paraId="34D0FF24" w14:textId="77777777" w:rsidR="00C03EC4" w:rsidRPr="002E75D4" w:rsidRDefault="00C03EC4" w:rsidP="000D6136">
                  <w:pPr>
                    <w:spacing w:after="160" w:line="259" w:lineRule="auto"/>
                    <w:contextualSpacing/>
                    <w:jc w:val="left"/>
                    <w:rPr>
                      <w:rFonts w:asciiTheme="majorHAnsi" w:hAnsiTheme="majorHAnsi" w:cstheme="majorHAnsi"/>
                      <w:b/>
                    </w:rPr>
                  </w:pPr>
                  <w:r w:rsidRPr="002E75D4">
                    <w:rPr>
                      <w:rFonts w:asciiTheme="majorHAnsi" w:hAnsiTheme="majorHAnsi" w:cstheme="majorHAnsi"/>
                      <w:b/>
                    </w:rPr>
                    <w:t>CO2, CH4, N2O</w:t>
                  </w:r>
                </w:p>
              </w:tc>
            </w:tr>
          </w:tbl>
          <w:p w14:paraId="2AE14BBC" w14:textId="77777777" w:rsidR="00C03EC4" w:rsidRPr="002E75D4" w:rsidRDefault="00C03EC4" w:rsidP="000D6136">
            <w:pPr>
              <w:spacing w:after="160" w:line="259" w:lineRule="auto"/>
              <w:jc w:val="both"/>
              <w:rPr>
                <w:rFonts w:asciiTheme="majorHAnsi" w:hAnsiTheme="majorHAnsi" w:cstheme="majorHAnsi"/>
              </w:rPr>
            </w:pPr>
          </w:p>
          <w:p w14:paraId="20233A33"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Les calculs des émissions au niveau du-secteur Forêt et changement d’affectation des Terre sont effectués sur la base des données issues de deux(02) inventaires forestiers et cartographies des occupations de sol. Cela a permis d’estimer les gains et perte de superficie liés aux activités de déforestations. Ces informations et données couplées avec celles des activités de reboisement et d’exploitation de bois et produits forestiers ont permis, avec l’usage des facteurs d’expansion conformément au</w:t>
            </w:r>
            <w:r>
              <w:rPr>
                <w:rFonts w:asciiTheme="majorHAnsi" w:hAnsiTheme="majorHAnsi" w:cstheme="majorHAnsi"/>
              </w:rPr>
              <w:t xml:space="preserve"> </w:t>
            </w:r>
            <w:r w:rsidRPr="002E75D4">
              <w:rPr>
                <w:rFonts w:asciiTheme="majorHAnsi" w:hAnsiTheme="majorHAnsi" w:cstheme="majorHAnsi"/>
              </w:rPr>
              <w:t>directive du GIEC, d’estimer les émissions des changement</w:t>
            </w:r>
            <w:r>
              <w:rPr>
                <w:rFonts w:asciiTheme="majorHAnsi" w:hAnsiTheme="majorHAnsi" w:cstheme="majorHAnsi"/>
              </w:rPr>
              <w:t>s</w:t>
            </w:r>
            <w:r w:rsidRPr="002E75D4">
              <w:rPr>
                <w:rFonts w:asciiTheme="majorHAnsi" w:hAnsiTheme="majorHAnsi" w:cstheme="majorHAnsi"/>
              </w:rPr>
              <w:t xml:space="preserve"> d’affectation et les séquestration</w:t>
            </w:r>
            <w:r>
              <w:rPr>
                <w:rFonts w:asciiTheme="majorHAnsi" w:hAnsiTheme="majorHAnsi" w:cstheme="majorHAnsi"/>
              </w:rPr>
              <w:t>s</w:t>
            </w:r>
            <w:r w:rsidRPr="002E75D4">
              <w:rPr>
                <w:rFonts w:asciiTheme="majorHAnsi" w:hAnsiTheme="majorHAnsi" w:cstheme="majorHAnsi"/>
              </w:rPr>
              <w:t xml:space="preserve"> au niveau de sous-secteur. </w:t>
            </w:r>
          </w:p>
          <w:p w14:paraId="027C7446" w14:textId="77777777" w:rsidR="00C03EC4" w:rsidRPr="002E75D4" w:rsidRDefault="00C03EC4" w:rsidP="000D6136">
            <w:pPr>
              <w:spacing w:after="160" w:line="259" w:lineRule="auto"/>
              <w:jc w:val="both"/>
              <w:rPr>
                <w:rFonts w:asciiTheme="majorHAnsi" w:hAnsiTheme="majorHAnsi" w:cstheme="majorHAnsi"/>
              </w:rPr>
            </w:pPr>
          </w:p>
          <w:p w14:paraId="7B854850"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Estimation PIUP et autres catégories de l’inventaire :</w:t>
            </w:r>
          </w:p>
          <w:p w14:paraId="43342FAF"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 xml:space="preserve">Le secteur des Procédés Industriels et Utilisation des solvants et autres Produits (PIUP) ne comporte pas les activités de Industries chimique de production (2B), Industrie métallurgique (2C). </w:t>
            </w:r>
          </w:p>
          <w:p w14:paraId="4416187A"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Le secteur est caractérisé par l’utilisation des hydrocarbures et des solvants. Les émissions fugitives liées aux combustibles ne donnent pas lieu à des activités, donc non comptabilisées.</w:t>
            </w:r>
          </w:p>
          <w:p w14:paraId="1EB5DA3D"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 xml:space="preserve">Pour les hydrocarbures (carburant) les émissions de combustion ont été rapportées dans la partie correspondante des catégories source du secteur Energie (normalement 1A1 ou 1A2). </w:t>
            </w:r>
          </w:p>
          <w:p w14:paraId="41820870"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 xml:space="preserve">Par ailleurs les émissions dues à l’utilisation des solvants (2F) et de d’autres produits comme substituts de substance appauvrissant l’ozone comme les HFC et PEF sont prises en compte dans l’inventaire national des GES. </w:t>
            </w:r>
          </w:p>
          <w:p w14:paraId="348A85F5"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Les solvants sont utilisés dans les différentes unités industrielles, notamment le secteur de la peinture, fabrication de la mousse (matelas), des phytosanitaires, du savon, du ciment, et la céramique.</w:t>
            </w:r>
          </w:p>
          <w:p w14:paraId="4141D69B"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 xml:space="preserve"> Ses produits sont utilisés dans la production du ciment, de la chaux, du savon. Il n’y a pas d’émission directe de CO2.</w:t>
            </w:r>
          </w:p>
          <w:p w14:paraId="15D2C08B"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En revanche, les émissions de HFC et PEF issues de l’utilisation de ces solvants et autres produits sont très faibles au niveau de ce secteur. Ce qui fait que ce secteur n’a pas été considéré comme priorité dans le choix des secteurs.</w:t>
            </w:r>
          </w:p>
          <w:p w14:paraId="51314BDE" w14:textId="77777777" w:rsidR="00C03EC4" w:rsidRPr="002E75D4" w:rsidRDefault="00C03EC4" w:rsidP="000D6136">
            <w:pPr>
              <w:spacing w:after="160" w:line="259" w:lineRule="auto"/>
              <w:jc w:val="both"/>
              <w:rPr>
                <w:rFonts w:asciiTheme="majorHAnsi" w:hAnsiTheme="majorHAnsi" w:cstheme="majorHAnsi"/>
              </w:rPr>
            </w:pPr>
          </w:p>
          <w:p w14:paraId="6B386667"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Rapport d’évaluation du GIEC utilisé pour les valeurs des PRG : le rapport BUR de 2019 qui est élaboré à partir de l’inventaire de GES suivant les directives du GIEC</w:t>
            </w:r>
          </w:p>
        </w:tc>
      </w:tr>
      <w:tr w:rsidR="00C03EC4" w:rsidRPr="002E75D4" w14:paraId="664421AF" w14:textId="77777777" w:rsidTr="000D6136">
        <w:tc>
          <w:tcPr>
            <w:tcW w:w="1750" w:type="pct"/>
            <w:hideMark/>
          </w:tcPr>
          <w:p w14:paraId="16197616" w14:textId="77777777" w:rsidR="00C03EC4" w:rsidRPr="002E75D4" w:rsidRDefault="00C03EC4" w:rsidP="000D6136">
            <w:pPr>
              <w:spacing w:after="160" w:line="259" w:lineRule="auto"/>
              <w:jc w:val="both"/>
              <w:rPr>
                <w:rFonts w:asciiTheme="majorHAnsi" w:hAnsiTheme="majorHAnsi" w:cstheme="majorHAnsi"/>
              </w:rPr>
            </w:pPr>
            <w:r w:rsidRPr="002E75D4">
              <w:rPr>
                <w:rFonts w:cstheme="minorHAnsi"/>
              </w:rPr>
              <w:t>c.</w:t>
            </w:r>
            <w:r w:rsidRPr="002E75D4">
              <w:rPr>
                <w:rFonts w:asciiTheme="majorHAnsi" w:hAnsiTheme="majorHAnsi" w:cstheme="majorHAnsi"/>
              </w:rPr>
              <w:t xml:space="preserve"> Comment le pays Partie a tenu compte des paragraphes 31 c) et d) de la décision 1 / CP.21.</w:t>
            </w:r>
          </w:p>
        </w:tc>
        <w:tc>
          <w:tcPr>
            <w:tcW w:w="3250" w:type="pct"/>
            <w:shd w:val="clear" w:color="auto" w:fill="F2F2F2" w:themeFill="background1" w:themeFillShade="F2"/>
            <w:hideMark/>
          </w:tcPr>
          <w:p w14:paraId="69D3DF1D"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La CDN du Mali</w:t>
            </w:r>
            <w:r>
              <w:rPr>
                <w:rFonts w:asciiTheme="majorHAnsi" w:hAnsiTheme="majorHAnsi" w:cstheme="majorHAnsi"/>
              </w:rPr>
              <w:t xml:space="preserve"> </w:t>
            </w:r>
            <w:r w:rsidRPr="002E75D4">
              <w:rPr>
                <w:rFonts w:asciiTheme="majorHAnsi" w:hAnsiTheme="majorHAnsi" w:cstheme="majorHAnsi"/>
              </w:rPr>
              <w:t>inclue toutes les catégories d’émissions et d’absorptions anthropiques estimées dans les inventaires de gaz à effet de serre élaborés par le BUR. Les trois secteurs de la version précédente de la CDN (2015) ont été repris ; un nouveau secteur a été pris en compte : celui des déchets</w:t>
            </w:r>
          </w:p>
          <w:p w14:paraId="0023536D"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La CDN mobilise de plus de nouveaux domaines non étatiques : les Collectivités territoriales (régions, cercles, communes), le secteur privé et la société civile et les Organisations non gouvernementales</w:t>
            </w:r>
          </w:p>
        </w:tc>
      </w:tr>
      <w:tr w:rsidR="00C03EC4" w:rsidRPr="002E75D4" w14:paraId="1D651760" w14:textId="77777777" w:rsidTr="000D6136">
        <w:trPr>
          <w:cnfStyle w:val="000000100000" w:firstRow="0" w:lastRow="0" w:firstColumn="0" w:lastColumn="0" w:oddVBand="0" w:evenVBand="0" w:oddHBand="1" w:evenHBand="0" w:firstRowFirstColumn="0" w:firstRowLastColumn="0" w:lastRowFirstColumn="0" w:lastRowLastColumn="0"/>
        </w:trPr>
        <w:tc>
          <w:tcPr>
            <w:tcW w:w="1750" w:type="pct"/>
            <w:hideMark/>
          </w:tcPr>
          <w:p w14:paraId="5ECD3368"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d. Co-avantages d’atténuation résultant des mesures d’adaptation et / ou des plans de diversification économique des Parties, y compris la description des projets, mesures et initiatives spécifiques des mesures d’adaptation et / ou des plans de diversification</w:t>
            </w:r>
          </w:p>
        </w:tc>
        <w:tc>
          <w:tcPr>
            <w:tcW w:w="3250" w:type="pct"/>
            <w:shd w:val="clear" w:color="auto" w:fill="D9D9D9" w:themeFill="background1" w:themeFillShade="D9"/>
            <w:hideMark/>
          </w:tcPr>
          <w:p w14:paraId="0139F62D" w14:textId="77777777" w:rsidR="00C03EC4" w:rsidRPr="002E75D4" w:rsidRDefault="00C03EC4" w:rsidP="000D6136">
            <w:pPr>
              <w:tabs>
                <w:tab w:val="left" w:pos="1114"/>
              </w:tabs>
              <w:spacing w:after="160" w:line="259" w:lineRule="auto"/>
              <w:jc w:val="both"/>
              <w:rPr>
                <w:rFonts w:asciiTheme="majorHAnsi" w:hAnsiTheme="majorHAnsi" w:cstheme="majorHAnsi"/>
              </w:rPr>
            </w:pPr>
            <w:r w:rsidRPr="002E75D4">
              <w:rPr>
                <w:rFonts w:asciiTheme="majorHAnsi" w:hAnsiTheme="majorHAnsi" w:cstheme="majorHAnsi"/>
              </w:rPr>
              <w:t>Un nombre important d’actions d’adaptation de la CDN ont également un co-avantage d’atténuation.</w:t>
            </w:r>
          </w:p>
          <w:p w14:paraId="27A5C436" w14:textId="77777777" w:rsidR="00C03EC4" w:rsidRPr="002E75D4" w:rsidRDefault="00C03EC4" w:rsidP="000D6136">
            <w:pPr>
              <w:tabs>
                <w:tab w:val="left" w:pos="1114"/>
              </w:tabs>
              <w:spacing w:after="160" w:line="259" w:lineRule="auto"/>
              <w:jc w:val="both"/>
              <w:rPr>
                <w:rFonts w:asciiTheme="majorHAnsi" w:hAnsiTheme="majorHAnsi" w:cstheme="majorHAnsi"/>
              </w:rPr>
            </w:pPr>
            <w:r w:rsidRPr="002E75D4">
              <w:rPr>
                <w:rFonts w:asciiTheme="majorHAnsi" w:hAnsiTheme="majorHAnsi" w:cstheme="majorHAnsi"/>
              </w:rPr>
              <w:t>Par exemple trois grands programmes d’adaptation relevant du domaine de la Forêt et des Ecosystèmes (Développement de la Production de gomme arabique, Programme National de Reboisement, Renforcement de la séquestration du carbone page 51 de la CDN) sont également des actions d’atténuation inscrits dans le scénario d’atténuation dans le cadre du REDD+ (page 34 de la CDN)</w:t>
            </w:r>
          </w:p>
        </w:tc>
      </w:tr>
      <w:tr w:rsidR="00C03EC4" w:rsidRPr="002E75D4" w14:paraId="0F3F53E9" w14:textId="77777777" w:rsidTr="000D6136">
        <w:tc>
          <w:tcPr>
            <w:tcW w:w="1750" w:type="pct"/>
          </w:tcPr>
          <w:p w14:paraId="4A3E6EFD"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Couverture géographique</w:t>
            </w:r>
          </w:p>
        </w:tc>
        <w:tc>
          <w:tcPr>
            <w:tcW w:w="3250" w:type="pct"/>
            <w:shd w:val="clear" w:color="auto" w:fill="F2F2F2" w:themeFill="background1" w:themeFillShade="F2"/>
          </w:tcPr>
          <w:p w14:paraId="5834CF71" w14:textId="77777777" w:rsidR="00C03EC4" w:rsidRPr="002E75D4" w:rsidRDefault="00C03EC4" w:rsidP="000D6136">
            <w:pPr>
              <w:spacing w:after="160" w:line="259" w:lineRule="auto"/>
              <w:jc w:val="both"/>
              <w:rPr>
                <w:rFonts w:asciiTheme="majorHAnsi" w:hAnsiTheme="majorHAnsi" w:cstheme="majorHAnsi"/>
              </w:rPr>
            </w:pPr>
            <w:r w:rsidRPr="002E75D4">
              <w:rPr>
                <w:rFonts w:asciiTheme="majorHAnsi" w:hAnsiTheme="majorHAnsi" w:cstheme="majorHAnsi"/>
              </w:rPr>
              <w:t>La CDN prend en compte la couverture géographique totale du Mali et l’ensemble  des diversités écologiques et humaines</w:t>
            </w:r>
          </w:p>
          <w:p w14:paraId="7D06F704" w14:textId="77777777" w:rsidR="00C03EC4" w:rsidRPr="002E75D4" w:rsidRDefault="00C03EC4" w:rsidP="000D6136">
            <w:pPr>
              <w:spacing w:after="160" w:line="259" w:lineRule="auto"/>
              <w:jc w:val="both"/>
              <w:rPr>
                <w:rFonts w:asciiTheme="majorHAnsi" w:hAnsiTheme="majorHAnsi" w:cstheme="majorHAnsi"/>
              </w:rPr>
            </w:pPr>
          </w:p>
        </w:tc>
      </w:tr>
    </w:tbl>
    <w:p w14:paraId="0B82C413" w14:textId="77777777" w:rsidR="00C03EC4" w:rsidRPr="002E75D4" w:rsidRDefault="00C03EC4" w:rsidP="00C03EC4">
      <w:pPr>
        <w:jc w:val="both"/>
        <w:rPr>
          <w:rFonts w:asciiTheme="majorHAnsi" w:hAnsiTheme="majorHAnsi" w:cstheme="majorHAnsi"/>
        </w:rPr>
      </w:pPr>
    </w:p>
    <w:tbl>
      <w:tblPr>
        <w:tblStyle w:val="Grillemoyenne3-Accent1"/>
        <w:tblW w:w="5000" w:type="pct"/>
        <w:tblLook w:val="0420" w:firstRow="1" w:lastRow="0" w:firstColumn="0" w:lastColumn="0" w:noHBand="0" w:noVBand="1"/>
      </w:tblPr>
      <w:tblGrid>
        <w:gridCol w:w="3288"/>
        <w:gridCol w:w="6331"/>
      </w:tblGrid>
      <w:tr w:rsidR="00C03EC4" w:rsidRPr="002E75D4" w14:paraId="10506ABF" w14:textId="77777777" w:rsidTr="000D6136">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002060"/>
          </w:tcPr>
          <w:p w14:paraId="32A8C9BF" w14:textId="77777777" w:rsidR="00C03EC4" w:rsidRPr="002E75D4" w:rsidRDefault="00C03EC4" w:rsidP="000D6136">
            <w:pPr>
              <w:spacing w:after="160" w:line="259" w:lineRule="auto"/>
              <w:contextualSpacing/>
              <w:rPr>
                <w:rFonts w:asciiTheme="majorHAnsi" w:hAnsiTheme="majorHAnsi" w:cstheme="majorHAnsi"/>
                <w:b w:val="0"/>
                <w:color w:val="auto"/>
                <w:sz w:val="24"/>
              </w:rPr>
            </w:pPr>
            <w:r w:rsidRPr="002E75D4">
              <w:rPr>
                <w:rFonts w:asciiTheme="majorHAnsi" w:hAnsiTheme="majorHAnsi" w:cstheme="majorHAnsi"/>
                <w:b w:val="0"/>
                <w:color w:val="auto"/>
                <w:sz w:val="24"/>
              </w:rPr>
              <w:t>4. Processus de planification</w:t>
            </w:r>
          </w:p>
        </w:tc>
      </w:tr>
      <w:tr w:rsidR="00C03EC4" w:rsidRPr="002E75D4" w14:paraId="7BA86EA5"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1709" w:type="pct"/>
          </w:tcPr>
          <w:p w14:paraId="781BEA5D"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 xml:space="preserve">Lois, politiques, cadres juridiques et institutionnels, plans et processus pertinents pour les CDN ; </w:t>
            </w:r>
          </w:p>
        </w:tc>
        <w:tc>
          <w:tcPr>
            <w:tcW w:w="3291" w:type="pct"/>
            <w:shd w:val="clear" w:color="auto" w:fill="D9D9D9" w:themeFill="background1" w:themeFillShade="D9"/>
          </w:tcPr>
          <w:p w14:paraId="61FAEED7"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Le pays a élaboré son Programme d’Action National d’Adaptation (PANA) aux effets néfastes des changements climatiques en 2007 qui est en cours de révision. Il a présenté à la convention sa première, deuxième et troisième communication nationale et a terminé son premier programme biennal BUR.</w:t>
            </w:r>
          </w:p>
          <w:p w14:paraId="72A98E16"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Le Mali a élaboré des politiques et cadres stratégiques qui sous-tendent le processus de la CDN:</w:t>
            </w:r>
          </w:p>
          <w:p w14:paraId="6DBCD5FB"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 en 2011 sa Politique Nationale sur les Changements Climatiques, assortie d’une stratégie et d’un plan d’actions</w:t>
            </w:r>
          </w:p>
          <w:p w14:paraId="0069DEEC"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 un Cadre Stratégique pour la Réalisation d’un Mali Résilient et Vert en 2018</w:t>
            </w:r>
          </w:p>
          <w:p w14:paraId="7899A406"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 révision en 2018 de la Politique Nationale de protection de l’environnement</w:t>
            </w:r>
          </w:p>
          <w:p w14:paraId="39368566"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Au plan macro-économique, le pays intègre la dimension environnementale et des changements climatiques en particulier dans les processus de planification, notamment dans la mise en œuvre du Cadre Stratégique pour la Relance Économique et le Développement Durable (CREDD), qui constitue le cadre unique de référence de l’ensemble des politiques de développement du pays pour la période 2019-2023.</w:t>
            </w:r>
          </w:p>
        </w:tc>
      </w:tr>
      <w:tr w:rsidR="00C03EC4" w:rsidRPr="002E75D4" w14:paraId="30FB0999" w14:textId="77777777" w:rsidTr="000D6136">
        <w:trPr>
          <w:trHeight w:val="300"/>
        </w:trPr>
        <w:tc>
          <w:tcPr>
            <w:tcW w:w="1709" w:type="pct"/>
          </w:tcPr>
          <w:p w14:paraId="07A9B2EB"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Les processus de planification nationale que les Parties ont entrepris pour déterminer leur CDN</w:t>
            </w:r>
          </w:p>
        </w:tc>
        <w:tc>
          <w:tcPr>
            <w:tcW w:w="3291" w:type="pct"/>
            <w:shd w:val="clear" w:color="auto" w:fill="F2F2F2" w:themeFill="background1" w:themeFillShade="F2"/>
          </w:tcPr>
          <w:p w14:paraId="1441A855"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Principales politiques nationales :</w:t>
            </w:r>
          </w:p>
          <w:p w14:paraId="35E378E1"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Politique Nationale Forestière </w:t>
            </w:r>
          </w:p>
          <w:p w14:paraId="72A12BD3"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Politique Nationale de l’Energie</w:t>
            </w:r>
          </w:p>
          <w:p w14:paraId="2C1B208F"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 xml:space="preserve">Politique Nationale d’Agriculture </w:t>
            </w:r>
          </w:p>
          <w:p w14:paraId="27BCDECC"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Politique Nationale d’Aménagement du Territoire</w:t>
            </w:r>
          </w:p>
          <w:p w14:paraId="13BC1194"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Politique Nationale d’Assainissement</w:t>
            </w:r>
          </w:p>
        </w:tc>
      </w:tr>
      <w:tr w:rsidR="00C03EC4" w:rsidRPr="002E75D4" w14:paraId="37219956"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1709" w:type="pct"/>
          </w:tcPr>
          <w:p w14:paraId="29ABFA37"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Les responsabilités institutionnelles ; - consultations des parties prenantes et autres processus pour atteindre les objectifs de la CDN, y compris avec populations indigènes ; communautés locales ; les aînés et les jeunes ; transition juste ; genre ; droits humains ; autres considérations importantes</w:t>
            </w:r>
          </w:p>
        </w:tc>
        <w:tc>
          <w:tcPr>
            <w:tcW w:w="3291" w:type="pct"/>
            <w:shd w:val="clear" w:color="auto" w:fill="D9D9D9" w:themeFill="background1" w:themeFillShade="D9"/>
          </w:tcPr>
          <w:p w14:paraId="45AADC55"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L’élaboration de la CDN s’est appuyée sur un</w:t>
            </w:r>
            <w:r>
              <w:rPr>
                <w:rFonts w:asciiTheme="majorHAnsi" w:hAnsiTheme="majorHAnsi" w:cstheme="majorHAnsi"/>
              </w:rPr>
              <w:t xml:space="preserve">e </w:t>
            </w:r>
            <w:r w:rsidRPr="002E75D4">
              <w:rPr>
                <w:rFonts w:asciiTheme="majorHAnsi" w:hAnsiTheme="majorHAnsi" w:cstheme="majorHAnsi"/>
              </w:rPr>
              <w:t>large consultation nationale des parties suivantes :</w:t>
            </w:r>
          </w:p>
          <w:p w14:paraId="46D3863D"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-Ensemble des services techniques de l’Etat</w:t>
            </w:r>
          </w:p>
          <w:p w14:paraId="3BD1B870"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-Collectivités territoriales sur le terrain (mairies, cercles, régions) notamment au travers ce consultations régionales</w:t>
            </w:r>
          </w:p>
          <w:p w14:paraId="779D7833"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-Secteur privé : industries, organisations professionnelles</w:t>
            </w:r>
          </w:p>
          <w:p w14:paraId="6F1942B9"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-Société civile principalement au travers des ONG</w:t>
            </w:r>
          </w:p>
        </w:tc>
      </w:tr>
      <w:tr w:rsidR="00C03EC4" w:rsidRPr="002E75D4" w14:paraId="7C1427FA" w14:textId="77777777" w:rsidTr="000D6136">
        <w:trPr>
          <w:trHeight w:val="300"/>
        </w:trPr>
        <w:tc>
          <w:tcPr>
            <w:tcW w:w="1709" w:type="pct"/>
          </w:tcPr>
          <w:p w14:paraId="1F0441E6"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Processus mené dans la conception de la NDC comment différents organismes publics et niveaux de gouvernement ont aidé à concevoir le NDC.</w:t>
            </w:r>
          </w:p>
        </w:tc>
        <w:tc>
          <w:tcPr>
            <w:tcW w:w="3291" w:type="pct"/>
            <w:shd w:val="clear" w:color="auto" w:fill="F2F2F2" w:themeFill="background1" w:themeFillShade="F2"/>
          </w:tcPr>
          <w:p w14:paraId="0160DD3D"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Les concertations sectorielles (au niveau de chacun des quatre secteurs) se sont largement appuyées sur les Directions Nationales des secteurs pris en compte et sur les organismes publics concernés (CMDT, Universités., Organismes de recherche…)</w:t>
            </w:r>
          </w:p>
        </w:tc>
      </w:tr>
      <w:tr w:rsidR="00C03EC4" w:rsidRPr="002E75D4" w14:paraId="4B5B96BD"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1709" w:type="pct"/>
          </w:tcPr>
          <w:p w14:paraId="2C4E9237"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Les lacunes en matière d'information, les obstacles ou les problèmes auxquels la Partie a été confrontée au cours du processus de conception du NDC ;</w:t>
            </w:r>
          </w:p>
        </w:tc>
        <w:tc>
          <w:tcPr>
            <w:tcW w:w="3291" w:type="pct"/>
            <w:shd w:val="clear" w:color="auto" w:fill="D9D9D9" w:themeFill="background1" w:themeFillShade="D9"/>
          </w:tcPr>
          <w:p w14:paraId="5D4C18AD"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Les problèmes d’insécurité ont limité l’ampleur des concertations régionales dans les régions touchées.</w:t>
            </w:r>
          </w:p>
        </w:tc>
      </w:tr>
      <w:tr w:rsidR="00C03EC4" w:rsidRPr="002E75D4" w14:paraId="17B0C621" w14:textId="77777777" w:rsidTr="000D6136">
        <w:trPr>
          <w:trHeight w:val="300"/>
        </w:trPr>
        <w:tc>
          <w:tcPr>
            <w:tcW w:w="1709" w:type="pct"/>
          </w:tcPr>
          <w:p w14:paraId="13B2AE19"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Comment la NDC se rapporte aux plans ou stratégies de développement </w:t>
            </w:r>
          </w:p>
        </w:tc>
        <w:tc>
          <w:tcPr>
            <w:tcW w:w="3291" w:type="pct"/>
            <w:shd w:val="clear" w:color="auto" w:fill="F2F2F2" w:themeFill="background1" w:themeFillShade="F2"/>
          </w:tcPr>
          <w:p w14:paraId="48CDBBF7"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Les stratégies de développement sont des prolongations des politiques nationales utilisées</w:t>
            </w:r>
          </w:p>
        </w:tc>
      </w:tr>
      <w:tr w:rsidR="00C03EC4" w:rsidRPr="002E75D4" w14:paraId="45265917" w14:textId="77777777" w:rsidTr="000D6136">
        <w:trPr>
          <w:cnfStyle w:val="000000100000" w:firstRow="0" w:lastRow="0" w:firstColumn="0" w:lastColumn="0" w:oddVBand="0" w:evenVBand="0" w:oddHBand="1" w:evenHBand="0" w:firstRowFirstColumn="0" w:firstRowLastColumn="0" w:lastRowFirstColumn="0" w:lastRowLastColumn="0"/>
          <w:trHeight w:val="300"/>
        </w:trPr>
        <w:tc>
          <w:tcPr>
            <w:tcW w:w="1709" w:type="pct"/>
          </w:tcPr>
          <w:p w14:paraId="73AD99D5"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Comment la NDC se rapporte aux plans ou stratégies d'éradication de la pauvreté </w:t>
            </w:r>
          </w:p>
        </w:tc>
        <w:tc>
          <w:tcPr>
            <w:tcW w:w="3291" w:type="pct"/>
            <w:shd w:val="clear" w:color="auto" w:fill="D9D9D9" w:themeFill="background1" w:themeFillShade="D9"/>
          </w:tcPr>
          <w:p w14:paraId="65F362E8" w14:textId="77777777" w:rsidR="00C03EC4" w:rsidRPr="002E75D4" w:rsidRDefault="00C03EC4" w:rsidP="000D6136">
            <w:pPr>
              <w:spacing w:after="160" w:line="259" w:lineRule="auto"/>
              <w:contextualSpacing/>
              <w:jc w:val="both"/>
              <w:rPr>
                <w:rFonts w:asciiTheme="majorHAnsi" w:hAnsiTheme="majorHAnsi" w:cstheme="majorHAnsi"/>
              </w:rPr>
            </w:pPr>
            <w:r w:rsidRPr="002E75D4">
              <w:rPr>
                <w:rFonts w:asciiTheme="majorHAnsi" w:hAnsiTheme="majorHAnsi" w:cstheme="majorHAnsi"/>
              </w:rPr>
              <w:t>Au travers du CREDD</w:t>
            </w:r>
          </w:p>
        </w:tc>
      </w:tr>
    </w:tbl>
    <w:p w14:paraId="6B349607" w14:textId="77777777" w:rsidR="00C03EC4" w:rsidRPr="002E75D4" w:rsidRDefault="00C03EC4" w:rsidP="00C03EC4">
      <w:pPr>
        <w:jc w:val="both"/>
        <w:rPr>
          <w:rFonts w:asciiTheme="majorHAnsi" w:hAnsiTheme="majorHAnsi" w:cstheme="majorHAnsi"/>
        </w:rPr>
      </w:pPr>
    </w:p>
    <w:tbl>
      <w:tblPr>
        <w:tblStyle w:val="Grillemoyenne3-Accent1"/>
        <w:tblW w:w="9918" w:type="dxa"/>
        <w:tblLook w:val="0420" w:firstRow="1" w:lastRow="0" w:firstColumn="0" w:lastColumn="0" w:noHBand="0" w:noVBand="1"/>
      </w:tblPr>
      <w:tblGrid>
        <w:gridCol w:w="4959"/>
        <w:gridCol w:w="4959"/>
      </w:tblGrid>
      <w:tr w:rsidR="00C03EC4" w:rsidRPr="002E75D4" w14:paraId="6C7B657F" w14:textId="77777777" w:rsidTr="000D6136">
        <w:trPr>
          <w:cnfStyle w:val="100000000000" w:firstRow="1" w:lastRow="0" w:firstColumn="0" w:lastColumn="0" w:oddVBand="0" w:evenVBand="0" w:oddHBand="0" w:evenHBand="0" w:firstRowFirstColumn="0" w:firstRowLastColumn="0" w:lastRowFirstColumn="0" w:lastRowLastColumn="0"/>
          <w:trHeight w:val="397"/>
        </w:trPr>
        <w:tc>
          <w:tcPr>
            <w:tcW w:w="9918" w:type="dxa"/>
            <w:gridSpan w:val="2"/>
            <w:shd w:val="clear" w:color="auto" w:fill="002060"/>
          </w:tcPr>
          <w:p w14:paraId="5B6C801B" w14:textId="77777777" w:rsidR="00C03EC4" w:rsidRPr="002E75D4" w:rsidRDefault="00C03EC4" w:rsidP="000D6136">
            <w:pPr>
              <w:contextualSpacing/>
              <w:rPr>
                <w:rFonts w:asciiTheme="majorHAnsi" w:hAnsiTheme="majorHAnsi" w:cstheme="majorHAnsi"/>
                <w:color w:val="auto"/>
              </w:rPr>
            </w:pPr>
            <w:r w:rsidRPr="002E75D4">
              <w:rPr>
                <w:rFonts w:asciiTheme="majorHAnsi" w:hAnsiTheme="majorHAnsi" w:cstheme="majorHAnsi"/>
                <w:color w:val="auto"/>
                <w:sz w:val="24"/>
              </w:rPr>
              <w:t>5. Hypothèses et approches méthodologiques, y compris celles permettant d’estimer et de comptabiliser les émissions anthropiques de gaz à effet de serre et les absorptions</w:t>
            </w:r>
          </w:p>
        </w:tc>
      </w:tr>
      <w:tr w:rsidR="00C03EC4" w:rsidRPr="002E75D4" w14:paraId="3E2A1DA6" w14:textId="77777777" w:rsidTr="000D6136">
        <w:trPr>
          <w:cnfStyle w:val="000000100000" w:firstRow="0" w:lastRow="0" w:firstColumn="0" w:lastColumn="0" w:oddVBand="0" w:evenVBand="0" w:oddHBand="1" w:evenHBand="0" w:firstRowFirstColumn="0" w:firstRowLastColumn="0" w:lastRowFirstColumn="0" w:lastRowLastColumn="0"/>
          <w:trHeight w:val="397"/>
        </w:trPr>
        <w:tc>
          <w:tcPr>
            <w:tcW w:w="4959" w:type="dxa"/>
          </w:tcPr>
          <w:p w14:paraId="54F1A33C"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d. Méthodologies et paramètres utilisés par GIEC pour estimer les émissions et les absorptions anthropiques de gaz à effet de serre.</w:t>
            </w:r>
          </w:p>
        </w:tc>
        <w:tc>
          <w:tcPr>
            <w:tcW w:w="4959" w:type="dxa"/>
            <w:shd w:val="clear" w:color="auto" w:fill="D9D9D9" w:themeFill="background1" w:themeFillShade="D9"/>
          </w:tcPr>
          <w:p w14:paraId="5510166D"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Méthodologies : Logiciel nouvelle version 2.69 du GIEC – sept 2019 intégrant des méthodes TIER 2 dans les lignes directrices 2006 pour la plupart des catégories dans les secteurs de l'Energie, PIUP et déchets, ainsi que pour les catégories "agriculture" dans le secteur AFAT</w:t>
            </w:r>
          </w:p>
          <w:p w14:paraId="6539476F"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 xml:space="preserve">Métriques : Potentiel de réchauffement Global conformément au quatrième rapport d’évaluation du GIEC (AR4). </w:t>
            </w:r>
          </w:p>
          <w:p w14:paraId="6176667B"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Pour le secteur de l’énergie, les catégories source de puit sont possèdent les codes</w:t>
            </w:r>
            <w:r>
              <w:rPr>
                <w:rFonts w:asciiTheme="majorHAnsi" w:hAnsiTheme="majorHAnsi" w:cstheme="majorHAnsi"/>
              </w:rPr>
              <w:t xml:space="preserve"> </w:t>
            </w:r>
            <w:r w:rsidRPr="002E75D4">
              <w:rPr>
                <w:rFonts w:asciiTheme="majorHAnsi" w:hAnsiTheme="majorHAnsi" w:cstheme="majorHAnsi"/>
              </w:rPr>
              <w:t>(GIEC) suivants</w:t>
            </w:r>
            <w:r>
              <w:rPr>
                <w:rFonts w:asciiTheme="majorHAnsi" w:hAnsiTheme="majorHAnsi" w:cstheme="majorHAnsi"/>
              </w:rPr>
              <w:t xml:space="preserve"> </w:t>
            </w:r>
            <w:r w:rsidRPr="002E75D4">
              <w:rPr>
                <w:rFonts w:asciiTheme="majorHAnsi" w:hAnsiTheme="majorHAnsi" w:cstheme="majorHAnsi"/>
              </w:rPr>
              <w:t xml:space="preserve">: </w:t>
            </w:r>
          </w:p>
          <w:p w14:paraId="164671E0"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1.A : Activités de combustion de carburant (approche sectorielle). Les codes des sous catégories utilisés pour l’évaluation des émissions sont :</w:t>
            </w:r>
          </w:p>
          <w:p w14:paraId="278B5526"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-1. A.1 ; 1.A.2 ; 1.A.3 ; 1.A.4 (1.A .4.a ; 1.A .4.b ; 1.A .4.c: gaz non estimés)</w:t>
            </w:r>
          </w:p>
          <w:p w14:paraId="274E642E" w14:textId="77777777" w:rsidR="00C03EC4" w:rsidRPr="002E75D4" w:rsidRDefault="00C03EC4" w:rsidP="000D6136">
            <w:pPr>
              <w:spacing w:after="120"/>
              <w:contextualSpacing/>
              <w:jc w:val="both"/>
              <w:rPr>
                <w:rFonts w:asciiTheme="majorHAnsi" w:hAnsiTheme="majorHAnsi" w:cstheme="majorHAnsi"/>
              </w:rPr>
            </w:pPr>
            <w:r w:rsidRPr="002E75D4">
              <w:rPr>
                <w:rFonts w:asciiTheme="majorHAnsi" w:hAnsiTheme="majorHAnsi" w:cstheme="majorHAnsi"/>
              </w:rPr>
              <w:t>1. B : Emissions fugitives imputables aux combustibles</w:t>
            </w:r>
          </w:p>
          <w:p w14:paraId="0565F63B" w14:textId="77777777" w:rsidR="00C03EC4" w:rsidRPr="002E75D4" w:rsidRDefault="00C03EC4" w:rsidP="000D6136">
            <w:pPr>
              <w:spacing w:after="120"/>
              <w:contextualSpacing/>
              <w:jc w:val="both"/>
              <w:rPr>
                <w:rFonts w:asciiTheme="majorHAnsi" w:hAnsiTheme="majorHAnsi" w:cstheme="majorHAnsi"/>
              </w:rPr>
            </w:pPr>
            <w:r w:rsidRPr="002E75D4">
              <w:rPr>
                <w:rFonts w:asciiTheme="majorHAnsi" w:hAnsiTheme="majorHAnsi" w:cstheme="majorHAnsi"/>
              </w:rPr>
              <w:t>3. C.5 Emissions indirectes de N2O issues des sols gérés (L 2004, L 2017, T) - N2O</w:t>
            </w:r>
          </w:p>
          <w:p w14:paraId="33A3EDC8" w14:textId="77777777" w:rsidR="00C03EC4" w:rsidRPr="002E75D4" w:rsidRDefault="00C03EC4" w:rsidP="000D6136">
            <w:pPr>
              <w:pStyle w:val="Paragraphedeliste"/>
              <w:numPr>
                <w:ilvl w:val="0"/>
                <w:numId w:val="24"/>
              </w:numPr>
              <w:spacing w:after="0" w:line="240" w:lineRule="auto"/>
              <w:jc w:val="both"/>
              <w:rPr>
                <w:rFonts w:asciiTheme="majorHAnsi" w:hAnsiTheme="majorHAnsi" w:cstheme="majorHAnsi"/>
              </w:rPr>
            </w:pPr>
            <w:r w:rsidRPr="002E75D4">
              <w:rPr>
                <w:rFonts w:asciiTheme="majorHAnsi" w:hAnsiTheme="majorHAnsi" w:cstheme="majorHAnsi"/>
              </w:rPr>
              <w:t>Le niveau méthodologique 1 (Tier 1) du GIEC a été appliqué pour toutes les sous-catégories. Les facteurs d’émission (FE) et paramètres d’émission sont des valeurs par défaut proposées par les Lignes Directrices 2006 du GIEC pour les inventaires nationaux de GES.</w:t>
            </w:r>
          </w:p>
          <w:p w14:paraId="32E5DBE9" w14:textId="77777777" w:rsidR="00C03EC4" w:rsidRPr="002E75D4" w:rsidRDefault="00C03EC4" w:rsidP="000D6136">
            <w:pPr>
              <w:pStyle w:val="Paragraphedeliste"/>
              <w:numPr>
                <w:ilvl w:val="0"/>
                <w:numId w:val="24"/>
              </w:numPr>
              <w:spacing w:after="0" w:line="240" w:lineRule="auto"/>
              <w:jc w:val="both"/>
              <w:rPr>
                <w:rFonts w:asciiTheme="majorHAnsi" w:hAnsiTheme="majorHAnsi" w:cstheme="majorHAnsi"/>
              </w:rPr>
            </w:pPr>
            <w:r w:rsidRPr="002E75D4">
              <w:rPr>
                <w:rFonts w:asciiTheme="majorHAnsi" w:hAnsiTheme="majorHAnsi" w:cstheme="majorHAnsi"/>
              </w:rPr>
              <w:t>Les principaux GES sont : le CO2, le CH4 et N2O.</w:t>
            </w:r>
          </w:p>
          <w:p w14:paraId="373253B6" w14:textId="77777777" w:rsidR="00C03EC4" w:rsidRPr="002E75D4" w:rsidRDefault="00C03EC4" w:rsidP="000D6136">
            <w:pPr>
              <w:pStyle w:val="Paragraphedeliste"/>
              <w:numPr>
                <w:ilvl w:val="0"/>
                <w:numId w:val="24"/>
              </w:numPr>
              <w:spacing w:after="0" w:line="240" w:lineRule="auto"/>
              <w:jc w:val="both"/>
              <w:rPr>
                <w:rFonts w:asciiTheme="majorHAnsi" w:hAnsiTheme="majorHAnsi" w:cstheme="majorHAnsi"/>
              </w:rPr>
            </w:pPr>
          </w:p>
          <w:p w14:paraId="20C22D55"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Les valeurs de PRG utilisées sont celles déterminées dans le (AR4) : PRG CO2 = 1 (par convention) ; PRG CH4 = 25 ; PRG N2O = 310 ; PRG HFCs = 1.5 - 14 800</w:t>
            </w:r>
          </w:p>
          <w:p w14:paraId="5451E2E7" w14:textId="77777777" w:rsidR="00C03EC4" w:rsidRPr="002E75D4" w:rsidRDefault="00C03EC4" w:rsidP="000D6136">
            <w:pPr>
              <w:spacing w:after="120"/>
              <w:contextualSpacing/>
              <w:jc w:val="both"/>
              <w:rPr>
                <w:rFonts w:asciiTheme="majorHAnsi" w:hAnsiTheme="majorHAnsi" w:cstheme="majorHAnsi"/>
              </w:rPr>
            </w:pPr>
            <w:r w:rsidRPr="002E75D4">
              <w:rPr>
                <w:rFonts w:asciiTheme="majorHAnsi" w:hAnsiTheme="majorHAnsi" w:cstheme="majorHAnsi"/>
              </w:rPr>
              <w:t>Pour le PIUP :</w:t>
            </w:r>
          </w:p>
          <w:p w14:paraId="647AADA1"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La méthodologie générale utilisée pour l’estimation des émissions liées à chacun des procédés industriels est le produit de la donnée du niveau d’activité, c’est-à-dire la quantité produite ou consommée de matériau, et d’un facteur d’émission par unité de consommation/production associée.</w:t>
            </w:r>
          </w:p>
          <w:p w14:paraId="5163E10A" w14:textId="77777777" w:rsidR="00C03EC4" w:rsidRPr="002E75D4" w:rsidRDefault="00C03EC4" w:rsidP="000D6136">
            <w:pPr>
              <w:spacing w:after="120"/>
              <w:contextualSpacing/>
              <w:jc w:val="both"/>
              <w:rPr>
                <w:rFonts w:asciiTheme="majorHAnsi" w:hAnsiTheme="majorHAnsi" w:cstheme="majorHAnsi"/>
              </w:rPr>
            </w:pPr>
            <w:r w:rsidRPr="002E75D4">
              <w:rPr>
                <w:rFonts w:asciiTheme="majorHAnsi" w:hAnsiTheme="majorHAnsi" w:cstheme="majorHAnsi"/>
              </w:rPr>
              <w:t>Pour les AFAT</w:t>
            </w:r>
          </w:p>
          <w:p w14:paraId="7FBD1784"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La catégorisation des terres conformément aux directives du GIEC et leur évolution dans le temps à partir des données d’inventaire forestier national et la télédétection.</w:t>
            </w:r>
          </w:p>
          <w:p w14:paraId="143C2FD2"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Pour le l’élevage, les effectifs du cheptel sont obtenus à partir du recensement national du cheptel.</w:t>
            </w:r>
          </w:p>
          <w:p w14:paraId="64035158"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Pour l’agriculture, les statistiques sur la production céréalière, les types de cultures (irriguées et non irrigués) vivrière ou de rente, les intrants agricoles (engrais) et leur évolution par an ont été utilisées</w:t>
            </w:r>
          </w:p>
          <w:p w14:paraId="6E5496CD"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Les facteurs d’expansion et par défaut ont été appliqués conformément aux directives du GIEC au niveau des AFAT.</w:t>
            </w:r>
          </w:p>
        </w:tc>
      </w:tr>
      <w:tr w:rsidR="00C03EC4" w:rsidRPr="002E75D4" w14:paraId="1B8EEC19" w14:textId="77777777" w:rsidTr="000D6136">
        <w:trPr>
          <w:trHeight w:val="397"/>
        </w:trPr>
        <w:tc>
          <w:tcPr>
            <w:tcW w:w="9918" w:type="dxa"/>
            <w:gridSpan w:val="2"/>
            <w:shd w:val="clear" w:color="auto" w:fill="F2F2F2" w:themeFill="background1" w:themeFillShade="F2"/>
          </w:tcPr>
          <w:p w14:paraId="70C047C9" w14:textId="77777777" w:rsidR="00C03EC4" w:rsidRPr="002E75D4" w:rsidRDefault="00C03EC4" w:rsidP="000D6136">
            <w:pPr>
              <w:contextualSpacing/>
              <w:rPr>
                <w:rFonts w:asciiTheme="majorHAnsi" w:hAnsiTheme="majorHAnsi" w:cstheme="majorHAnsi"/>
                <w:b/>
              </w:rPr>
            </w:pPr>
            <w:r w:rsidRPr="002E75D4">
              <w:rPr>
                <w:rFonts w:asciiTheme="majorHAnsi" w:hAnsiTheme="majorHAnsi" w:cstheme="majorHAnsi"/>
                <w:b/>
              </w:rPr>
              <w:t>e. Hypothèses, méthodologies et approches propres au secteur, à la catégorie ou à l’activité, conformes aux orientations du GIEC le cas échéant, y compris, le cas échéant :</w:t>
            </w:r>
          </w:p>
        </w:tc>
      </w:tr>
      <w:tr w:rsidR="00C03EC4" w:rsidRPr="002E75D4" w14:paraId="12673070" w14:textId="77777777" w:rsidTr="000D6136">
        <w:trPr>
          <w:cnfStyle w:val="000000100000" w:firstRow="0" w:lastRow="0" w:firstColumn="0" w:lastColumn="0" w:oddVBand="0" w:evenVBand="0" w:oddHBand="1" w:evenHBand="0" w:firstRowFirstColumn="0" w:firstRowLastColumn="0" w:lastRowFirstColumn="0" w:lastRowLastColumn="0"/>
          <w:trHeight w:val="397"/>
        </w:trPr>
        <w:tc>
          <w:tcPr>
            <w:tcW w:w="4959" w:type="dxa"/>
          </w:tcPr>
          <w:p w14:paraId="55043B25"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 Approche pour traiter les émissions et les absorptions subséquentes des perturbations naturelles sur les terres gérées.</w:t>
            </w:r>
          </w:p>
        </w:tc>
        <w:tc>
          <w:tcPr>
            <w:tcW w:w="4959" w:type="dxa"/>
            <w:shd w:val="clear" w:color="auto" w:fill="D9D9D9" w:themeFill="background1" w:themeFillShade="D9"/>
          </w:tcPr>
          <w:p w14:paraId="1E5DDFE6"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Toutes les émissions et absorptions déclarées dans l’inventaire des GES du Mali sont inclus dans la CDN, sans approche spécifique pour exclure les émissions des perturbations naturelles.</w:t>
            </w:r>
          </w:p>
          <w:p w14:paraId="12632BC9"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Ainsi, pour les absorptions, le territoire a été divisé en six (06) catégories de terres à partir des données des inventaires forestiers nationaux (2014 et 2006)</w:t>
            </w:r>
          </w:p>
          <w:p w14:paraId="01937E76"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Les changements d’affectation des différents systèmes d’occupation et les catégories « terres gérées »et « terres non gérées » ont été établis conformément aux directives du GIEC. Cela a permis de prendre en compte les émissions et les absorptions liées aux perturbations sur celles –ci.</w:t>
            </w:r>
          </w:p>
        </w:tc>
      </w:tr>
      <w:tr w:rsidR="00C03EC4" w:rsidRPr="002E75D4" w14:paraId="1028D75F" w14:textId="77777777" w:rsidTr="000D6136">
        <w:trPr>
          <w:trHeight w:val="397"/>
        </w:trPr>
        <w:tc>
          <w:tcPr>
            <w:tcW w:w="4959" w:type="dxa"/>
          </w:tcPr>
          <w:p w14:paraId="1BB9FBAD"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iii. Approche utilisée pour traiter les effets de la structure des classes d’âge dans les forêts.</w:t>
            </w:r>
          </w:p>
        </w:tc>
        <w:tc>
          <w:tcPr>
            <w:tcW w:w="4959" w:type="dxa"/>
            <w:shd w:val="clear" w:color="auto" w:fill="F2F2F2" w:themeFill="background1" w:themeFillShade="F2"/>
          </w:tcPr>
          <w:p w14:paraId="48F8E9A9"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La nature des formations savanicoles d’Afrique tropicale sèche et aride ne permet pas la détermination et structuration en classes d’âge. Ce sont des vieux taillis sous futaies. De ce fait, les effets de la structure des classes d’âge dans les forêts ne sont pas pris en compte.</w:t>
            </w:r>
          </w:p>
        </w:tc>
      </w:tr>
      <w:tr w:rsidR="00C03EC4" w:rsidRPr="002E75D4" w14:paraId="0D7477B8" w14:textId="77777777" w:rsidTr="000D6136">
        <w:trPr>
          <w:cnfStyle w:val="000000100000" w:firstRow="0" w:lastRow="0" w:firstColumn="0" w:lastColumn="0" w:oddVBand="0" w:evenVBand="0" w:oddHBand="1" w:evenHBand="0" w:firstRowFirstColumn="0" w:firstRowLastColumn="0" w:lastRowFirstColumn="0" w:lastRowLastColumn="0"/>
          <w:trHeight w:val="397"/>
        </w:trPr>
        <w:tc>
          <w:tcPr>
            <w:tcW w:w="4959" w:type="dxa"/>
          </w:tcPr>
          <w:p w14:paraId="09DB0093"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ii. Approche utilisée pour tenir compte des émissions et des absorptions des produits ligneux récoltés</w:t>
            </w:r>
          </w:p>
        </w:tc>
        <w:tc>
          <w:tcPr>
            <w:tcW w:w="4959" w:type="dxa"/>
            <w:shd w:val="clear" w:color="auto" w:fill="D9D9D9" w:themeFill="background1" w:themeFillShade="D9"/>
          </w:tcPr>
          <w:p w14:paraId="31B1CF8F" w14:textId="77777777" w:rsidR="00C03EC4" w:rsidRPr="002E75D4" w:rsidRDefault="00C03EC4" w:rsidP="000D6136">
            <w:pPr>
              <w:contextualSpacing/>
              <w:jc w:val="both"/>
              <w:rPr>
                <w:rFonts w:asciiTheme="majorHAnsi" w:hAnsiTheme="majorHAnsi" w:cstheme="majorHAnsi"/>
              </w:rPr>
            </w:pPr>
            <w:r w:rsidRPr="002E75D4">
              <w:rPr>
                <w:rFonts w:asciiTheme="majorHAnsi" w:hAnsiTheme="majorHAnsi" w:cstheme="majorHAnsi"/>
              </w:rPr>
              <w:t>Les produits ligneux récoltés comme le bois d’œuvre, le bois de services, le bois morts sont été estimés à travers les statistiques en termes de données d’activités. Le facteur par défaut à été appliqué conformément aux directives du GIEC.</w:t>
            </w:r>
          </w:p>
        </w:tc>
      </w:tr>
    </w:tbl>
    <w:p w14:paraId="48218E5B" w14:textId="77777777" w:rsidR="00C03EC4" w:rsidRPr="002E75D4" w:rsidRDefault="00C03EC4" w:rsidP="00C03EC4">
      <w:pPr>
        <w:pStyle w:val="StylenormalENABEL"/>
        <w:spacing w:line="276" w:lineRule="auto"/>
        <w:contextualSpacing w:val="0"/>
        <w:rPr>
          <w:rFonts w:asciiTheme="majorHAnsi" w:hAnsiTheme="majorHAnsi" w:cstheme="majorHAnsi"/>
          <w:sz w:val="24"/>
        </w:rPr>
        <w:sectPr w:rsidR="00C03EC4" w:rsidRPr="002E75D4" w:rsidSect="00AB6F7B">
          <w:pgSz w:w="11906" w:h="16838"/>
          <w:pgMar w:top="1134" w:right="1133" w:bottom="1134" w:left="1134" w:header="709" w:footer="709" w:gutter="0"/>
          <w:cols w:space="708"/>
          <w:docGrid w:linePitch="360"/>
        </w:sectPr>
      </w:pPr>
    </w:p>
    <w:p w14:paraId="4A5F21F5" w14:textId="77777777" w:rsidR="00C03EC4" w:rsidRDefault="00C03EC4" w:rsidP="00C03EC4">
      <w:pPr>
        <w:pStyle w:val="StylenormalENABEL"/>
        <w:spacing w:line="276" w:lineRule="auto"/>
        <w:contextualSpacing w:val="0"/>
        <w:rPr>
          <w:rFonts w:asciiTheme="majorHAnsi" w:hAnsiTheme="majorHAnsi" w:cstheme="majorHAnsi"/>
          <w:b/>
          <w:sz w:val="80"/>
          <w:szCs w:val="80"/>
          <w:lang w:val="fr-FR"/>
        </w:rPr>
      </w:pPr>
    </w:p>
    <w:p w14:paraId="3EA6993C" w14:textId="77777777" w:rsidR="00C03EC4" w:rsidRDefault="00C03EC4" w:rsidP="00C03EC4">
      <w:pPr>
        <w:tabs>
          <w:tab w:val="left" w:pos="3482"/>
        </w:tabs>
        <w:rPr>
          <w:rFonts w:asciiTheme="majorHAnsi" w:hAnsiTheme="majorHAnsi" w:cstheme="majorHAnsi"/>
          <w:b/>
          <w:kern w:val="18"/>
          <w:sz w:val="80"/>
          <w:szCs w:val="80"/>
        </w:rPr>
      </w:pPr>
      <w:r>
        <w:rPr>
          <w:rFonts w:asciiTheme="majorHAnsi" w:hAnsiTheme="majorHAnsi" w:cstheme="majorHAnsi"/>
          <w:b/>
          <w:kern w:val="18"/>
          <w:sz w:val="80"/>
          <w:szCs w:val="80"/>
        </w:rPr>
        <w:tab/>
      </w:r>
    </w:p>
    <w:p w14:paraId="1851557C" w14:textId="77777777" w:rsidR="00C03EC4" w:rsidRDefault="00C03EC4" w:rsidP="00C03EC4">
      <w:pPr>
        <w:rPr>
          <w:lang w:val="fr-BE"/>
        </w:rPr>
      </w:pPr>
    </w:p>
    <w:p w14:paraId="034942DA" w14:textId="77777777" w:rsidR="00C03EC4" w:rsidRPr="00F55CD5" w:rsidRDefault="00C03EC4" w:rsidP="00C03EC4">
      <w:pPr>
        <w:rPr>
          <w:lang w:val="fr-BE"/>
        </w:rPr>
      </w:pPr>
    </w:p>
    <w:p w14:paraId="2C965FA4" w14:textId="77777777" w:rsidR="00C03EC4" w:rsidRPr="00F55CD5" w:rsidRDefault="00C03EC4" w:rsidP="00C03EC4">
      <w:pPr>
        <w:rPr>
          <w:lang w:val="fr-BE"/>
        </w:rPr>
      </w:pPr>
    </w:p>
    <w:p w14:paraId="1FDFE422" w14:textId="77777777" w:rsidR="00C03EC4" w:rsidRDefault="00C03EC4" w:rsidP="00C03EC4">
      <w:pPr>
        <w:rPr>
          <w:lang w:val="fr-BE"/>
        </w:rPr>
      </w:pPr>
    </w:p>
    <w:bookmarkEnd w:id="0"/>
    <w:p w14:paraId="6B3FB6C1" w14:textId="77777777" w:rsidR="00C03EC4" w:rsidRPr="00F55CD5" w:rsidRDefault="00C03EC4" w:rsidP="00C03EC4">
      <w:pPr>
        <w:jc w:val="center"/>
        <w:rPr>
          <w:lang w:val="fr-BE"/>
        </w:rPr>
      </w:pPr>
    </w:p>
    <w:p w14:paraId="59860E7B" w14:textId="77777777" w:rsidR="00C03EC4" w:rsidRDefault="00C03EC4"/>
    <w:sectPr w:rsidR="00C03E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D3C1D" w14:textId="77777777" w:rsidR="008C63A0" w:rsidRDefault="008C63A0">
      <w:pPr>
        <w:spacing w:after="0" w:line="240" w:lineRule="auto"/>
      </w:pPr>
      <w:r>
        <w:separator/>
      </w:r>
    </w:p>
  </w:endnote>
  <w:endnote w:type="continuationSeparator" w:id="0">
    <w:p w14:paraId="387E4CE9" w14:textId="77777777" w:rsidR="008C63A0" w:rsidRDefault="008C6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Neue">
    <w:altName w:val="Corbel"/>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ArialNarrow">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23"/>
      <w:gridCol w:w="903"/>
    </w:tblGrid>
    <w:tr w:rsidR="00EA7465" w14:paraId="30A64325" w14:textId="77777777" w:rsidTr="00AB6F7B">
      <w:tc>
        <w:tcPr>
          <w:tcW w:w="4500" w:type="pct"/>
          <w:tcBorders>
            <w:top w:val="single" w:sz="4" w:space="0" w:color="000000" w:themeColor="text1"/>
          </w:tcBorders>
        </w:tcPr>
        <w:p w14:paraId="4E9A9A73" w14:textId="77777777" w:rsidR="00EA7465" w:rsidRPr="00AB6F7B" w:rsidRDefault="00C03EC4">
          <w:pPr>
            <w:pStyle w:val="Pieddepage"/>
            <w:jc w:val="right"/>
            <w:rPr>
              <w:i/>
            </w:rPr>
          </w:pPr>
          <w:r w:rsidRPr="00AB6F7B">
            <w:rPr>
              <w:i/>
            </w:rPr>
            <w:t>Contribution Déterminée au niveau National révisée</w:t>
          </w:r>
        </w:p>
      </w:tc>
      <w:tc>
        <w:tcPr>
          <w:tcW w:w="500" w:type="pct"/>
          <w:tcBorders>
            <w:top w:val="single" w:sz="4" w:space="0" w:color="ED7D31" w:themeColor="accent2"/>
          </w:tcBorders>
          <w:shd w:val="clear" w:color="auto" w:fill="002060"/>
        </w:tcPr>
        <w:p w14:paraId="1C241E2C" w14:textId="77777777" w:rsidR="00EA7465" w:rsidRDefault="00C03EC4">
          <w:pPr>
            <w:pStyle w:val="En-tte"/>
            <w:rPr>
              <w:color w:val="FFFFFF" w:themeColor="background1"/>
            </w:rPr>
          </w:pPr>
          <w:r>
            <w:fldChar w:fldCharType="begin"/>
          </w:r>
          <w:r>
            <w:instrText>PAGE   \* MERGEFORMAT</w:instrText>
          </w:r>
          <w:r>
            <w:fldChar w:fldCharType="separate"/>
          </w:r>
          <w:r w:rsidRPr="00AB6F7B">
            <w:rPr>
              <w:noProof/>
              <w:color w:val="FFFFFF" w:themeColor="background1"/>
            </w:rPr>
            <w:t>2</w:t>
          </w:r>
          <w:r>
            <w:rPr>
              <w:color w:val="FFFFFF" w:themeColor="background1"/>
            </w:rPr>
            <w:fldChar w:fldCharType="end"/>
          </w:r>
        </w:p>
      </w:tc>
    </w:tr>
  </w:tbl>
  <w:p w14:paraId="756AAF04" w14:textId="77777777" w:rsidR="00EA7465" w:rsidRDefault="00000000" w:rsidP="00E2679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23"/>
      <w:gridCol w:w="903"/>
    </w:tblGrid>
    <w:tr w:rsidR="00EA7465" w14:paraId="344A7F0F" w14:textId="77777777" w:rsidTr="00AB6F7B">
      <w:tc>
        <w:tcPr>
          <w:tcW w:w="4500" w:type="pct"/>
          <w:tcBorders>
            <w:top w:val="single" w:sz="4" w:space="0" w:color="000000" w:themeColor="text1"/>
          </w:tcBorders>
        </w:tcPr>
        <w:p w14:paraId="76AC52D4" w14:textId="77777777" w:rsidR="00EA7465" w:rsidRPr="00AB6F7B" w:rsidRDefault="00C03EC4">
          <w:pPr>
            <w:pStyle w:val="Pieddepage"/>
            <w:jc w:val="right"/>
            <w:rPr>
              <w:i/>
            </w:rPr>
          </w:pPr>
          <w:r w:rsidRPr="00AB6F7B">
            <w:rPr>
              <w:i/>
              <w:color w:val="002060"/>
            </w:rPr>
            <w:t>Contribution Déterminée au Niveau National révisée</w:t>
          </w:r>
        </w:p>
      </w:tc>
      <w:tc>
        <w:tcPr>
          <w:tcW w:w="500" w:type="pct"/>
          <w:tcBorders>
            <w:top w:val="single" w:sz="4" w:space="0" w:color="ED7D31" w:themeColor="accent2"/>
          </w:tcBorders>
          <w:shd w:val="clear" w:color="auto" w:fill="002060"/>
        </w:tcPr>
        <w:p w14:paraId="4BF294FD" w14:textId="1A020FD3" w:rsidR="00EA7465" w:rsidRDefault="00C03EC4">
          <w:pPr>
            <w:pStyle w:val="En-tte"/>
            <w:rPr>
              <w:color w:val="FFFFFF" w:themeColor="background1"/>
            </w:rPr>
          </w:pPr>
          <w:r>
            <w:fldChar w:fldCharType="begin"/>
          </w:r>
          <w:r>
            <w:instrText>PAGE   \* MERGEFORMAT</w:instrText>
          </w:r>
          <w:r>
            <w:fldChar w:fldCharType="separate"/>
          </w:r>
          <w:r w:rsidR="00896895" w:rsidRPr="00896895">
            <w:rPr>
              <w:noProof/>
              <w:color w:val="FFFFFF" w:themeColor="background1"/>
            </w:rPr>
            <w:t>9</w:t>
          </w:r>
          <w:r>
            <w:rPr>
              <w:color w:val="FFFFFF" w:themeColor="background1"/>
            </w:rPr>
            <w:fldChar w:fldCharType="end"/>
          </w:r>
        </w:p>
      </w:tc>
    </w:tr>
  </w:tbl>
  <w:p w14:paraId="28F9316D" w14:textId="77777777" w:rsidR="00EA7465" w:rsidRDefault="00000000" w:rsidP="00E26796">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B8AD3" w14:textId="77777777" w:rsidR="00EA7465" w:rsidRDefault="00000000">
    <w:pPr>
      <w:pStyle w:val="Pieddepage"/>
      <w:jc w:val="center"/>
    </w:pPr>
  </w:p>
  <w:p w14:paraId="24E9CBA5" w14:textId="77777777" w:rsidR="00EA7465" w:rsidRDefault="000000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7C29B" w14:textId="77777777" w:rsidR="008C63A0" w:rsidRDefault="008C63A0">
      <w:pPr>
        <w:spacing w:after="0" w:line="240" w:lineRule="auto"/>
      </w:pPr>
      <w:r>
        <w:separator/>
      </w:r>
    </w:p>
  </w:footnote>
  <w:footnote w:type="continuationSeparator" w:id="0">
    <w:p w14:paraId="11373ED7" w14:textId="77777777" w:rsidR="008C63A0" w:rsidRDefault="008C6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0D2E"/>
    <w:multiLevelType w:val="hybridMultilevel"/>
    <w:tmpl w:val="E7566CF2"/>
    <w:lvl w:ilvl="0" w:tplc="0409000B">
      <w:start w:val="1"/>
      <w:numFmt w:val="bullet"/>
      <w:lvlText w:val=""/>
      <w:lvlJc w:val="left"/>
      <w:pPr>
        <w:ind w:left="720" w:hanging="360"/>
      </w:pPr>
      <w:rPr>
        <w:rFonts w:ascii="Wingdings" w:hAnsi="Wingdings"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34019"/>
    <w:multiLevelType w:val="hybridMultilevel"/>
    <w:tmpl w:val="71EABE26"/>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BA0CFF"/>
    <w:multiLevelType w:val="hybridMultilevel"/>
    <w:tmpl w:val="5706075E"/>
    <w:lvl w:ilvl="0" w:tplc="95D6C50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E910CC"/>
    <w:multiLevelType w:val="hybridMultilevel"/>
    <w:tmpl w:val="44BE952A"/>
    <w:lvl w:ilvl="0" w:tplc="0409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59F44E2"/>
    <w:multiLevelType w:val="hybridMultilevel"/>
    <w:tmpl w:val="92288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0A5D3949"/>
    <w:multiLevelType w:val="hybridMultilevel"/>
    <w:tmpl w:val="C28E62A4"/>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14BFA"/>
    <w:multiLevelType w:val="hybridMultilevel"/>
    <w:tmpl w:val="FFE0C3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E5107E"/>
    <w:multiLevelType w:val="hybridMultilevel"/>
    <w:tmpl w:val="F00C9854"/>
    <w:lvl w:ilvl="0" w:tplc="0409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E3C440C"/>
    <w:multiLevelType w:val="hybridMultilevel"/>
    <w:tmpl w:val="8F9487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F4D2F6D"/>
    <w:multiLevelType w:val="hybridMultilevel"/>
    <w:tmpl w:val="87DA3B1C"/>
    <w:lvl w:ilvl="0" w:tplc="EBFA7708">
      <w:start w:val="1"/>
      <w:numFmt w:val="bullet"/>
      <w:pStyle w:val="Style2"/>
      <w:lvlText w:val=""/>
      <w:lvlJc w:val="left"/>
      <w:pPr>
        <w:tabs>
          <w:tab w:val="num" w:pos="1329"/>
        </w:tabs>
        <w:ind w:left="1329" w:hanging="360"/>
      </w:pPr>
      <w:rPr>
        <w:rFonts w:ascii="Symbol" w:hAnsi="Symbol" w:hint="default"/>
      </w:rPr>
    </w:lvl>
    <w:lvl w:ilvl="1" w:tplc="040C0003">
      <w:start w:val="1"/>
      <w:numFmt w:val="bullet"/>
      <w:lvlText w:val=""/>
      <w:lvlJc w:val="left"/>
      <w:pPr>
        <w:tabs>
          <w:tab w:val="num" w:pos="2049"/>
        </w:tabs>
        <w:ind w:left="2049" w:hanging="360"/>
      </w:pPr>
      <w:rPr>
        <w:rFonts w:ascii="Symbol" w:hAnsi="Symbol" w:hint="default"/>
      </w:rPr>
    </w:lvl>
    <w:lvl w:ilvl="2" w:tplc="040C0005" w:tentative="1">
      <w:start w:val="1"/>
      <w:numFmt w:val="bullet"/>
      <w:lvlText w:val=""/>
      <w:lvlJc w:val="left"/>
      <w:pPr>
        <w:tabs>
          <w:tab w:val="num" w:pos="2769"/>
        </w:tabs>
        <w:ind w:left="2769" w:hanging="360"/>
      </w:pPr>
      <w:rPr>
        <w:rFonts w:ascii="Wingdings" w:hAnsi="Wingdings" w:hint="default"/>
      </w:rPr>
    </w:lvl>
    <w:lvl w:ilvl="3" w:tplc="040C0001" w:tentative="1">
      <w:start w:val="1"/>
      <w:numFmt w:val="bullet"/>
      <w:lvlText w:val=""/>
      <w:lvlJc w:val="left"/>
      <w:pPr>
        <w:tabs>
          <w:tab w:val="num" w:pos="3489"/>
        </w:tabs>
        <w:ind w:left="3489" w:hanging="360"/>
      </w:pPr>
      <w:rPr>
        <w:rFonts w:ascii="Symbol" w:hAnsi="Symbol" w:hint="default"/>
      </w:rPr>
    </w:lvl>
    <w:lvl w:ilvl="4" w:tplc="040C0003" w:tentative="1">
      <w:start w:val="1"/>
      <w:numFmt w:val="bullet"/>
      <w:lvlText w:val="o"/>
      <w:lvlJc w:val="left"/>
      <w:pPr>
        <w:tabs>
          <w:tab w:val="num" w:pos="4209"/>
        </w:tabs>
        <w:ind w:left="4209" w:hanging="360"/>
      </w:pPr>
      <w:rPr>
        <w:rFonts w:ascii="Courier New" w:hAnsi="Courier New" w:cs="Courier New" w:hint="default"/>
      </w:rPr>
    </w:lvl>
    <w:lvl w:ilvl="5" w:tplc="040C0005" w:tentative="1">
      <w:start w:val="1"/>
      <w:numFmt w:val="bullet"/>
      <w:lvlText w:val=""/>
      <w:lvlJc w:val="left"/>
      <w:pPr>
        <w:tabs>
          <w:tab w:val="num" w:pos="4929"/>
        </w:tabs>
        <w:ind w:left="4929" w:hanging="360"/>
      </w:pPr>
      <w:rPr>
        <w:rFonts w:ascii="Wingdings" w:hAnsi="Wingdings" w:hint="default"/>
      </w:rPr>
    </w:lvl>
    <w:lvl w:ilvl="6" w:tplc="040C0001" w:tentative="1">
      <w:start w:val="1"/>
      <w:numFmt w:val="bullet"/>
      <w:lvlText w:val=""/>
      <w:lvlJc w:val="left"/>
      <w:pPr>
        <w:tabs>
          <w:tab w:val="num" w:pos="5649"/>
        </w:tabs>
        <w:ind w:left="5649" w:hanging="360"/>
      </w:pPr>
      <w:rPr>
        <w:rFonts w:ascii="Symbol" w:hAnsi="Symbol" w:hint="default"/>
      </w:rPr>
    </w:lvl>
    <w:lvl w:ilvl="7" w:tplc="040C0003" w:tentative="1">
      <w:start w:val="1"/>
      <w:numFmt w:val="bullet"/>
      <w:lvlText w:val="o"/>
      <w:lvlJc w:val="left"/>
      <w:pPr>
        <w:tabs>
          <w:tab w:val="num" w:pos="6369"/>
        </w:tabs>
        <w:ind w:left="6369" w:hanging="360"/>
      </w:pPr>
      <w:rPr>
        <w:rFonts w:ascii="Courier New" w:hAnsi="Courier New" w:cs="Courier New" w:hint="default"/>
      </w:rPr>
    </w:lvl>
    <w:lvl w:ilvl="8" w:tplc="040C0005" w:tentative="1">
      <w:start w:val="1"/>
      <w:numFmt w:val="bullet"/>
      <w:lvlText w:val=""/>
      <w:lvlJc w:val="left"/>
      <w:pPr>
        <w:tabs>
          <w:tab w:val="num" w:pos="7089"/>
        </w:tabs>
        <w:ind w:left="7089" w:hanging="360"/>
      </w:pPr>
      <w:rPr>
        <w:rFonts w:ascii="Wingdings" w:hAnsi="Wingdings" w:hint="default"/>
      </w:rPr>
    </w:lvl>
  </w:abstractNum>
  <w:abstractNum w:abstractNumId="10" w15:restartNumberingAfterBreak="0">
    <w:nsid w:val="12C83C62"/>
    <w:multiLevelType w:val="hybridMultilevel"/>
    <w:tmpl w:val="7F0C4E54"/>
    <w:lvl w:ilvl="0" w:tplc="95D6C50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40E1715"/>
    <w:multiLevelType w:val="hybridMultilevel"/>
    <w:tmpl w:val="4EA8FC8C"/>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41E063B"/>
    <w:multiLevelType w:val="hybridMultilevel"/>
    <w:tmpl w:val="88C0CFF6"/>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447C74"/>
    <w:multiLevelType w:val="hybridMultilevel"/>
    <w:tmpl w:val="9E30290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F45686"/>
    <w:multiLevelType w:val="hybridMultilevel"/>
    <w:tmpl w:val="5666EE68"/>
    <w:lvl w:ilvl="0" w:tplc="2E9A426E">
      <w:start w:val="1"/>
      <w:numFmt w:val="bullet"/>
      <w:lvlText w:val="-"/>
      <w:lvlJc w:val="left"/>
      <w:pPr>
        <w:ind w:left="720" w:hanging="360"/>
      </w:pPr>
      <w:rPr>
        <w:rFonts w:ascii="Arial" w:eastAsia="Calibri" w:hAnsi="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3452DD"/>
    <w:multiLevelType w:val="hybridMultilevel"/>
    <w:tmpl w:val="79AC40EE"/>
    <w:lvl w:ilvl="0" w:tplc="2E9A426E">
      <w:start w:val="1"/>
      <w:numFmt w:val="bullet"/>
      <w:lvlText w:val="-"/>
      <w:lvlJc w:val="left"/>
      <w:pPr>
        <w:ind w:left="720" w:hanging="360"/>
      </w:pPr>
      <w:rPr>
        <w:rFonts w:ascii="Arial" w:eastAsia="Calibri" w:hAnsi="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D72B91"/>
    <w:multiLevelType w:val="hybridMultilevel"/>
    <w:tmpl w:val="2DA2183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0F31EA"/>
    <w:multiLevelType w:val="hybridMultilevel"/>
    <w:tmpl w:val="1E840F36"/>
    <w:lvl w:ilvl="0" w:tplc="95D6C50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15A33D1"/>
    <w:multiLevelType w:val="hybridMultilevel"/>
    <w:tmpl w:val="520CFC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1F60C9C"/>
    <w:multiLevelType w:val="hybridMultilevel"/>
    <w:tmpl w:val="F850DA30"/>
    <w:lvl w:ilvl="0" w:tplc="0409000B">
      <w:start w:val="1"/>
      <w:numFmt w:val="bullet"/>
      <w:lvlText w:val=""/>
      <w:lvlJc w:val="left"/>
      <w:pPr>
        <w:ind w:left="720" w:hanging="360"/>
      </w:pPr>
      <w:rPr>
        <w:rFonts w:ascii="Wingdings" w:hAnsi="Wingdings" w:hint="default"/>
      </w:rPr>
    </w:lvl>
    <w:lvl w:ilvl="1" w:tplc="F5148C32" w:tentative="1">
      <w:start w:val="1"/>
      <w:numFmt w:val="bullet"/>
      <w:lvlText w:val="•"/>
      <w:lvlJc w:val="left"/>
      <w:pPr>
        <w:tabs>
          <w:tab w:val="num" w:pos="2511"/>
        </w:tabs>
        <w:ind w:left="2511" w:hanging="360"/>
      </w:pPr>
      <w:rPr>
        <w:rFonts w:ascii="Arial" w:hAnsi="Arial" w:hint="default"/>
      </w:rPr>
    </w:lvl>
    <w:lvl w:ilvl="2" w:tplc="BDD4F4F0" w:tentative="1">
      <w:start w:val="1"/>
      <w:numFmt w:val="bullet"/>
      <w:lvlText w:val="•"/>
      <w:lvlJc w:val="left"/>
      <w:pPr>
        <w:tabs>
          <w:tab w:val="num" w:pos="3231"/>
        </w:tabs>
        <w:ind w:left="3231" w:hanging="360"/>
      </w:pPr>
      <w:rPr>
        <w:rFonts w:ascii="Arial" w:hAnsi="Arial" w:hint="default"/>
      </w:rPr>
    </w:lvl>
    <w:lvl w:ilvl="3" w:tplc="476EC2C4" w:tentative="1">
      <w:start w:val="1"/>
      <w:numFmt w:val="bullet"/>
      <w:lvlText w:val="•"/>
      <w:lvlJc w:val="left"/>
      <w:pPr>
        <w:tabs>
          <w:tab w:val="num" w:pos="3951"/>
        </w:tabs>
        <w:ind w:left="3951" w:hanging="360"/>
      </w:pPr>
      <w:rPr>
        <w:rFonts w:ascii="Arial" w:hAnsi="Arial" w:hint="default"/>
      </w:rPr>
    </w:lvl>
    <w:lvl w:ilvl="4" w:tplc="5F64DA54" w:tentative="1">
      <w:start w:val="1"/>
      <w:numFmt w:val="bullet"/>
      <w:lvlText w:val="•"/>
      <w:lvlJc w:val="left"/>
      <w:pPr>
        <w:tabs>
          <w:tab w:val="num" w:pos="4671"/>
        </w:tabs>
        <w:ind w:left="4671" w:hanging="360"/>
      </w:pPr>
      <w:rPr>
        <w:rFonts w:ascii="Arial" w:hAnsi="Arial" w:hint="default"/>
      </w:rPr>
    </w:lvl>
    <w:lvl w:ilvl="5" w:tplc="5CF69B70" w:tentative="1">
      <w:start w:val="1"/>
      <w:numFmt w:val="bullet"/>
      <w:lvlText w:val="•"/>
      <w:lvlJc w:val="left"/>
      <w:pPr>
        <w:tabs>
          <w:tab w:val="num" w:pos="5391"/>
        </w:tabs>
        <w:ind w:left="5391" w:hanging="360"/>
      </w:pPr>
      <w:rPr>
        <w:rFonts w:ascii="Arial" w:hAnsi="Arial" w:hint="default"/>
      </w:rPr>
    </w:lvl>
    <w:lvl w:ilvl="6" w:tplc="ACDAA330" w:tentative="1">
      <w:start w:val="1"/>
      <w:numFmt w:val="bullet"/>
      <w:lvlText w:val="•"/>
      <w:lvlJc w:val="left"/>
      <w:pPr>
        <w:tabs>
          <w:tab w:val="num" w:pos="6111"/>
        </w:tabs>
        <w:ind w:left="6111" w:hanging="360"/>
      </w:pPr>
      <w:rPr>
        <w:rFonts w:ascii="Arial" w:hAnsi="Arial" w:hint="default"/>
      </w:rPr>
    </w:lvl>
    <w:lvl w:ilvl="7" w:tplc="FEC6BD26" w:tentative="1">
      <w:start w:val="1"/>
      <w:numFmt w:val="bullet"/>
      <w:lvlText w:val="•"/>
      <w:lvlJc w:val="left"/>
      <w:pPr>
        <w:tabs>
          <w:tab w:val="num" w:pos="6831"/>
        </w:tabs>
        <w:ind w:left="6831" w:hanging="360"/>
      </w:pPr>
      <w:rPr>
        <w:rFonts w:ascii="Arial" w:hAnsi="Arial" w:hint="default"/>
      </w:rPr>
    </w:lvl>
    <w:lvl w:ilvl="8" w:tplc="F6663D9E" w:tentative="1">
      <w:start w:val="1"/>
      <w:numFmt w:val="bullet"/>
      <w:lvlText w:val="•"/>
      <w:lvlJc w:val="left"/>
      <w:pPr>
        <w:tabs>
          <w:tab w:val="num" w:pos="7551"/>
        </w:tabs>
        <w:ind w:left="7551" w:hanging="360"/>
      </w:pPr>
      <w:rPr>
        <w:rFonts w:ascii="Arial" w:hAnsi="Arial" w:hint="default"/>
      </w:rPr>
    </w:lvl>
  </w:abstractNum>
  <w:abstractNum w:abstractNumId="20" w15:restartNumberingAfterBreak="0">
    <w:nsid w:val="23286B75"/>
    <w:multiLevelType w:val="hybridMultilevel"/>
    <w:tmpl w:val="8BC80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643FE6"/>
    <w:multiLevelType w:val="hybridMultilevel"/>
    <w:tmpl w:val="50F4203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4A635E2"/>
    <w:multiLevelType w:val="hybridMultilevel"/>
    <w:tmpl w:val="B984A172"/>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FD1987"/>
    <w:multiLevelType w:val="hybridMultilevel"/>
    <w:tmpl w:val="31D073B0"/>
    <w:lvl w:ilvl="0" w:tplc="95D6C502">
      <w:start w:val="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2C127557"/>
    <w:multiLevelType w:val="hybridMultilevel"/>
    <w:tmpl w:val="443E65F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B138D3"/>
    <w:multiLevelType w:val="hybridMultilevel"/>
    <w:tmpl w:val="72965F8E"/>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34BB3806"/>
    <w:multiLevelType w:val="hybridMultilevel"/>
    <w:tmpl w:val="F4889D1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5D916CA"/>
    <w:multiLevelType w:val="hybridMultilevel"/>
    <w:tmpl w:val="F4C00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F81855"/>
    <w:multiLevelType w:val="hybridMultilevel"/>
    <w:tmpl w:val="5DA4DE8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75610D7"/>
    <w:multiLevelType w:val="hybridMultilevel"/>
    <w:tmpl w:val="606A603E"/>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0053DC"/>
    <w:multiLevelType w:val="hybridMultilevel"/>
    <w:tmpl w:val="ECB457B6"/>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C53A6F"/>
    <w:multiLevelType w:val="hybridMultilevel"/>
    <w:tmpl w:val="0696EBA4"/>
    <w:lvl w:ilvl="0" w:tplc="0409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43694957"/>
    <w:multiLevelType w:val="hybridMultilevel"/>
    <w:tmpl w:val="94E0D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A84FD9"/>
    <w:multiLevelType w:val="hybridMultilevel"/>
    <w:tmpl w:val="AD9499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5702BED"/>
    <w:multiLevelType w:val="hybridMultilevel"/>
    <w:tmpl w:val="D8168508"/>
    <w:lvl w:ilvl="0" w:tplc="0409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8008B7"/>
    <w:multiLevelType w:val="multilevel"/>
    <w:tmpl w:val="23B89064"/>
    <w:lvl w:ilvl="0">
      <w:start w:val="4"/>
      <w:numFmt w:val="decimal"/>
      <w:lvlText w:val="%1"/>
      <w:lvlJc w:val="left"/>
      <w:pPr>
        <w:ind w:left="375" w:hanging="375"/>
      </w:pPr>
      <w:rPr>
        <w:rFonts w:hint="default"/>
      </w:rPr>
    </w:lvl>
    <w:lvl w:ilvl="1">
      <w:start w:val="1"/>
      <w:numFmt w:val="decimal"/>
      <w:lvlText w:val="%1.%2"/>
      <w:lvlJc w:val="left"/>
      <w:pPr>
        <w:ind w:left="659" w:hanging="375"/>
      </w:pPr>
      <w:rPr>
        <w:rFonts w:hint="default"/>
        <w:sz w:val="34"/>
        <w:szCs w:val="3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62953D4"/>
    <w:multiLevelType w:val="hybridMultilevel"/>
    <w:tmpl w:val="61126C2E"/>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6710DE2"/>
    <w:multiLevelType w:val="hybridMultilevel"/>
    <w:tmpl w:val="6A8E31F0"/>
    <w:lvl w:ilvl="0" w:tplc="0409000B">
      <w:start w:val="1"/>
      <w:numFmt w:val="bullet"/>
      <w:lvlText w:val=""/>
      <w:lvlJc w:val="left"/>
      <w:pPr>
        <w:ind w:left="720" w:hanging="360"/>
      </w:pPr>
      <w:rPr>
        <w:rFonts w:ascii="Wingdings" w:hAnsi="Wingdings" w:hint="default"/>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8B1773C"/>
    <w:multiLevelType w:val="hybridMultilevel"/>
    <w:tmpl w:val="25F8E2EE"/>
    <w:styleLink w:val="Nombres"/>
    <w:lvl w:ilvl="0" w:tplc="738C61F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60" w:hanging="360"/>
      </w:pPr>
      <w:rPr>
        <w:rFonts w:hAnsi="Arial Unicode MS"/>
        <w:caps w:val="0"/>
        <w:smallCaps w:val="0"/>
        <w:strike w:val="0"/>
        <w:dstrike w:val="0"/>
        <w:color w:val="000000"/>
        <w:spacing w:val="0"/>
        <w:w w:val="100"/>
        <w:kern w:val="0"/>
        <w:position w:val="0"/>
        <w:highlight w:val="none"/>
        <w:vertAlign w:val="baseline"/>
      </w:rPr>
    </w:lvl>
    <w:lvl w:ilvl="1" w:tplc="CA780BAC">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s>
        <w:ind w:left="720" w:hanging="360"/>
      </w:pPr>
      <w:rPr>
        <w:rFonts w:hAnsi="Arial Unicode MS"/>
        <w:caps w:val="0"/>
        <w:smallCaps w:val="0"/>
        <w:strike w:val="0"/>
        <w:dstrike w:val="0"/>
        <w:color w:val="000000"/>
        <w:spacing w:val="0"/>
        <w:w w:val="100"/>
        <w:kern w:val="0"/>
        <w:position w:val="0"/>
        <w:highlight w:val="none"/>
        <w:vertAlign w:val="baseline"/>
      </w:rPr>
    </w:lvl>
    <w:lvl w:ilvl="2" w:tplc="19F8A0D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080" w:hanging="360"/>
      </w:pPr>
      <w:rPr>
        <w:rFonts w:hAnsi="Arial Unicode MS"/>
        <w:caps w:val="0"/>
        <w:smallCaps w:val="0"/>
        <w:strike w:val="0"/>
        <w:dstrike w:val="0"/>
        <w:color w:val="000000"/>
        <w:spacing w:val="0"/>
        <w:w w:val="100"/>
        <w:kern w:val="0"/>
        <w:position w:val="0"/>
        <w:highlight w:val="none"/>
        <w:vertAlign w:val="baseline"/>
      </w:rPr>
    </w:lvl>
    <w:lvl w:ilvl="3" w:tplc="C9823C5C">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566"/>
        </w:tabs>
        <w:ind w:left="1440" w:hanging="360"/>
      </w:pPr>
      <w:rPr>
        <w:rFonts w:hAnsi="Arial Unicode MS"/>
        <w:caps w:val="0"/>
        <w:smallCaps w:val="0"/>
        <w:strike w:val="0"/>
        <w:dstrike w:val="0"/>
        <w:color w:val="000000"/>
        <w:spacing w:val="0"/>
        <w:w w:val="100"/>
        <w:kern w:val="0"/>
        <w:position w:val="0"/>
        <w:highlight w:val="none"/>
        <w:vertAlign w:val="baseline"/>
      </w:rPr>
    </w:lvl>
    <w:lvl w:ilvl="4" w:tplc="FCAC01EA">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800" w:hanging="360"/>
      </w:pPr>
      <w:rPr>
        <w:rFonts w:hAnsi="Arial Unicode MS"/>
        <w:caps w:val="0"/>
        <w:smallCaps w:val="0"/>
        <w:strike w:val="0"/>
        <w:dstrike w:val="0"/>
        <w:color w:val="000000"/>
        <w:spacing w:val="0"/>
        <w:w w:val="100"/>
        <w:kern w:val="0"/>
        <w:position w:val="0"/>
        <w:highlight w:val="none"/>
        <w:vertAlign w:val="baseline"/>
      </w:rPr>
    </w:lvl>
    <w:lvl w:ilvl="5" w:tplc="CC265104">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566"/>
        </w:tabs>
        <w:ind w:left="2160" w:hanging="360"/>
      </w:pPr>
      <w:rPr>
        <w:rFonts w:hAnsi="Arial Unicode MS"/>
        <w:caps w:val="0"/>
        <w:smallCaps w:val="0"/>
        <w:strike w:val="0"/>
        <w:dstrike w:val="0"/>
        <w:color w:val="000000"/>
        <w:spacing w:val="0"/>
        <w:w w:val="100"/>
        <w:kern w:val="0"/>
        <w:position w:val="0"/>
        <w:highlight w:val="none"/>
        <w:vertAlign w:val="baseline"/>
      </w:rPr>
    </w:lvl>
    <w:lvl w:ilvl="6" w:tplc="6E96F9B2">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520" w:hanging="360"/>
      </w:pPr>
      <w:rPr>
        <w:rFonts w:hAnsi="Arial Unicode MS"/>
        <w:caps w:val="0"/>
        <w:smallCaps w:val="0"/>
        <w:strike w:val="0"/>
        <w:dstrike w:val="0"/>
        <w:color w:val="000000"/>
        <w:spacing w:val="0"/>
        <w:w w:val="100"/>
        <w:kern w:val="0"/>
        <w:position w:val="0"/>
        <w:highlight w:val="none"/>
        <w:vertAlign w:val="baseline"/>
      </w:rPr>
    </w:lvl>
    <w:lvl w:ilvl="7" w:tplc="D212B500">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566"/>
        </w:tabs>
        <w:ind w:left="2880" w:hanging="360"/>
      </w:pPr>
      <w:rPr>
        <w:rFonts w:hAnsi="Arial Unicode MS"/>
        <w:caps w:val="0"/>
        <w:smallCaps w:val="0"/>
        <w:strike w:val="0"/>
        <w:dstrike w:val="0"/>
        <w:color w:val="000000"/>
        <w:spacing w:val="0"/>
        <w:w w:val="100"/>
        <w:kern w:val="0"/>
        <w:position w:val="0"/>
        <w:highlight w:val="none"/>
        <w:vertAlign w:val="baseline"/>
      </w:rPr>
    </w:lvl>
    <w:lvl w:ilvl="8" w:tplc="4B625EE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0">
    <w:nsid w:val="48B465FD"/>
    <w:multiLevelType w:val="hybridMultilevel"/>
    <w:tmpl w:val="AE76757A"/>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B62409F"/>
    <w:multiLevelType w:val="hybridMultilevel"/>
    <w:tmpl w:val="87507550"/>
    <w:lvl w:ilvl="0" w:tplc="0409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4C9109CB"/>
    <w:multiLevelType w:val="hybridMultilevel"/>
    <w:tmpl w:val="C868B982"/>
    <w:styleLink w:val="Style3import"/>
    <w:lvl w:ilvl="0" w:tplc="2B969B1E">
      <w:start w:val="1"/>
      <w:numFmt w:val="bullet"/>
      <w:lvlText w:val="-"/>
      <w:lvlJc w:val="left"/>
      <w:pPr>
        <w:ind w:left="502"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00692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64DCC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D86CF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2CB49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829A7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1C71D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AEDDA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DE0D9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4CA814D4"/>
    <w:multiLevelType w:val="hybridMultilevel"/>
    <w:tmpl w:val="5BE86728"/>
    <w:lvl w:ilvl="0" w:tplc="0409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4D2249CA"/>
    <w:multiLevelType w:val="hybridMultilevel"/>
    <w:tmpl w:val="3C0C26FE"/>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E4911FB"/>
    <w:multiLevelType w:val="hybridMultilevel"/>
    <w:tmpl w:val="1F685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9A2CD1"/>
    <w:multiLevelType w:val="hybridMultilevel"/>
    <w:tmpl w:val="338AA47C"/>
    <w:lvl w:ilvl="0" w:tplc="0409000B">
      <w:start w:val="1"/>
      <w:numFmt w:val="bullet"/>
      <w:lvlText w:val=""/>
      <w:lvlJc w:val="left"/>
      <w:pPr>
        <w:ind w:left="720" w:hanging="360"/>
      </w:pPr>
      <w:rPr>
        <w:rFonts w:ascii="Wingdings" w:hAnsi="Wingdings" w:hint="default"/>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EAD0D9C"/>
    <w:multiLevelType w:val="hybridMultilevel"/>
    <w:tmpl w:val="4A32D75A"/>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7" w15:restartNumberingAfterBreak="0">
    <w:nsid w:val="52F00F1F"/>
    <w:multiLevelType w:val="hybridMultilevel"/>
    <w:tmpl w:val="70609BB6"/>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532F0153"/>
    <w:multiLevelType w:val="hybridMultilevel"/>
    <w:tmpl w:val="082CB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077400"/>
    <w:multiLevelType w:val="hybridMultilevel"/>
    <w:tmpl w:val="F0DA71F6"/>
    <w:lvl w:ilvl="0" w:tplc="0409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5D3F112A"/>
    <w:multiLevelType w:val="hybridMultilevel"/>
    <w:tmpl w:val="43800D7A"/>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0091760"/>
    <w:multiLevelType w:val="hybridMultilevel"/>
    <w:tmpl w:val="31DC3BB2"/>
    <w:lvl w:ilvl="0" w:tplc="14B4A21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2FD4C3E"/>
    <w:multiLevelType w:val="hybridMultilevel"/>
    <w:tmpl w:val="6CA8C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31F6681"/>
    <w:multiLevelType w:val="hybridMultilevel"/>
    <w:tmpl w:val="4626B150"/>
    <w:lvl w:ilvl="0" w:tplc="0409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3207BE5"/>
    <w:multiLevelType w:val="hybridMultilevel"/>
    <w:tmpl w:val="1E90BD18"/>
    <w:lvl w:ilvl="0" w:tplc="040C000B">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354570A"/>
    <w:multiLevelType w:val="multilevel"/>
    <w:tmpl w:val="D2964944"/>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color w:val="00206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83B5E25"/>
    <w:multiLevelType w:val="hybridMultilevel"/>
    <w:tmpl w:val="D98449F4"/>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9E8456E"/>
    <w:multiLevelType w:val="hybridMultilevel"/>
    <w:tmpl w:val="AB7054FC"/>
    <w:styleLink w:val="Puces"/>
    <w:lvl w:ilvl="0" w:tplc="A400278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rPr>
    </w:lvl>
    <w:lvl w:ilvl="1" w:tplc="C3808A8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s>
        <w:ind w:left="7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rPr>
    </w:lvl>
    <w:lvl w:ilvl="2" w:tplc="576A10B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3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rPr>
    </w:lvl>
    <w:lvl w:ilvl="3" w:tplc="01B276F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9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rPr>
    </w:lvl>
    <w:lvl w:ilvl="4" w:tplc="6960159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5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rPr>
    </w:lvl>
    <w:lvl w:ilvl="5" w:tplc="998E6CB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1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rPr>
    </w:lvl>
    <w:lvl w:ilvl="6" w:tplc="9718F3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7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rPr>
    </w:lvl>
    <w:lvl w:ilvl="7" w:tplc="34225E3E">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566"/>
        </w:tabs>
        <w:ind w:left="43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rPr>
    </w:lvl>
    <w:lvl w:ilvl="8" w:tplc="FE24760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4974" w:hanging="174"/>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6AA468AA"/>
    <w:multiLevelType w:val="hybridMultilevel"/>
    <w:tmpl w:val="182A8C5E"/>
    <w:lvl w:ilvl="0" w:tplc="040C000B">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DC615AA"/>
    <w:multiLevelType w:val="hybridMultilevel"/>
    <w:tmpl w:val="A41C6E7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E661ECB"/>
    <w:multiLevelType w:val="multilevel"/>
    <w:tmpl w:val="040C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2783BE5"/>
    <w:multiLevelType w:val="multilevel"/>
    <w:tmpl w:val="080E7AC8"/>
    <w:lvl w:ilvl="0">
      <w:start w:val="3"/>
      <w:numFmt w:val="decimal"/>
      <w:lvlText w:val="%1"/>
      <w:lvlJc w:val="left"/>
      <w:pPr>
        <w:ind w:left="680" w:hanging="68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74180E8A"/>
    <w:multiLevelType w:val="hybridMultilevel"/>
    <w:tmpl w:val="D4EE51E6"/>
    <w:lvl w:ilvl="0" w:tplc="95D6C50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752C60DC"/>
    <w:multiLevelType w:val="multilevel"/>
    <w:tmpl w:val="4AE6D7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4E13FF"/>
    <w:multiLevelType w:val="multilevel"/>
    <w:tmpl w:val="80EC4C4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b/>
        <w:color w:val="002060"/>
        <w:sz w:val="34"/>
        <w:szCs w:val="3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57A1C0E"/>
    <w:multiLevelType w:val="multilevel"/>
    <w:tmpl w:val="52749D72"/>
    <w:lvl w:ilvl="0">
      <w:start w:val="1"/>
      <w:numFmt w:val="decimal"/>
      <w:lvlText w:val="%1"/>
      <w:lvlJc w:val="left"/>
      <w:pPr>
        <w:ind w:left="500" w:hanging="500"/>
      </w:pPr>
      <w:rPr>
        <w:rFonts w:hint="default"/>
      </w:rPr>
    </w:lvl>
    <w:lvl w:ilvl="1">
      <w:start w:val="4"/>
      <w:numFmt w:val="decimal"/>
      <w:lvlText w:val="%1.%2"/>
      <w:lvlJc w:val="left"/>
      <w:pPr>
        <w:ind w:left="720" w:hanging="720"/>
      </w:pPr>
      <w:rPr>
        <w:rFonts w:hint="default"/>
        <w:sz w:val="34"/>
        <w:szCs w:val="34"/>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6" w15:restartNumberingAfterBreak="0">
    <w:nsid w:val="775C61BC"/>
    <w:multiLevelType w:val="hybridMultilevel"/>
    <w:tmpl w:val="5254B52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8313CBA"/>
    <w:multiLevelType w:val="hybridMultilevel"/>
    <w:tmpl w:val="C7C43988"/>
    <w:lvl w:ilvl="0" w:tplc="95D6C50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7B8D286D"/>
    <w:multiLevelType w:val="hybridMultilevel"/>
    <w:tmpl w:val="F5625806"/>
    <w:lvl w:ilvl="0" w:tplc="0409000B">
      <w:start w:val="1"/>
      <w:numFmt w:val="bullet"/>
      <w:lvlText w:val=""/>
      <w:lvlJc w:val="left"/>
      <w:pPr>
        <w:ind w:left="720" w:hanging="360"/>
      </w:pPr>
      <w:rPr>
        <w:rFonts w:ascii="Wingdings" w:hAnsi="Wingdings" w:hint="default"/>
      </w:rPr>
    </w:lvl>
    <w:lvl w:ilvl="1" w:tplc="B3BCC360">
      <w:start w:val="1"/>
      <w:numFmt w:val="bullet"/>
      <w:lvlText w:val="•"/>
      <w:lvlJc w:val="left"/>
      <w:pPr>
        <w:tabs>
          <w:tab w:val="num" w:pos="1440"/>
        </w:tabs>
        <w:ind w:left="1440" w:hanging="360"/>
      </w:pPr>
      <w:rPr>
        <w:rFonts w:ascii="Arial" w:hAnsi="Arial" w:hint="default"/>
      </w:rPr>
    </w:lvl>
    <w:lvl w:ilvl="2" w:tplc="E9002612" w:tentative="1">
      <w:start w:val="1"/>
      <w:numFmt w:val="bullet"/>
      <w:lvlText w:val="•"/>
      <w:lvlJc w:val="left"/>
      <w:pPr>
        <w:tabs>
          <w:tab w:val="num" w:pos="2160"/>
        </w:tabs>
        <w:ind w:left="2160" w:hanging="360"/>
      </w:pPr>
      <w:rPr>
        <w:rFonts w:ascii="Arial" w:hAnsi="Arial" w:hint="default"/>
      </w:rPr>
    </w:lvl>
    <w:lvl w:ilvl="3" w:tplc="05E2FC88" w:tentative="1">
      <w:start w:val="1"/>
      <w:numFmt w:val="bullet"/>
      <w:lvlText w:val="•"/>
      <w:lvlJc w:val="left"/>
      <w:pPr>
        <w:tabs>
          <w:tab w:val="num" w:pos="2880"/>
        </w:tabs>
        <w:ind w:left="2880" w:hanging="360"/>
      </w:pPr>
      <w:rPr>
        <w:rFonts w:ascii="Arial" w:hAnsi="Arial" w:hint="default"/>
      </w:rPr>
    </w:lvl>
    <w:lvl w:ilvl="4" w:tplc="9BC2E146" w:tentative="1">
      <w:start w:val="1"/>
      <w:numFmt w:val="bullet"/>
      <w:lvlText w:val="•"/>
      <w:lvlJc w:val="left"/>
      <w:pPr>
        <w:tabs>
          <w:tab w:val="num" w:pos="3600"/>
        </w:tabs>
        <w:ind w:left="3600" w:hanging="360"/>
      </w:pPr>
      <w:rPr>
        <w:rFonts w:ascii="Arial" w:hAnsi="Arial" w:hint="default"/>
      </w:rPr>
    </w:lvl>
    <w:lvl w:ilvl="5" w:tplc="E584756E" w:tentative="1">
      <w:start w:val="1"/>
      <w:numFmt w:val="bullet"/>
      <w:lvlText w:val="•"/>
      <w:lvlJc w:val="left"/>
      <w:pPr>
        <w:tabs>
          <w:tab w:val="num" w:pos="4320"/>
        </w:tabs>
        <w:ind w:left="4320" w:hanging="360"/>
      </w:pPr>
      <w:rPr>
        <w:rFonts w:ascii="Arial" w:hAnsi="Arial" w:hint="default"/>
      </w:rPr>
    </w:lvl>
    <w:lvl w:ilvl="6" w:tplc="74545A6A" w:tentative="1">
      <w:start w:val="1"/>
      <w:numFmt w:val="bullet"/>
      <w:lvlText w:val="•"/>
      <w:lvlJc w:val="left"/>
      <w:pPr>
        <w:tabs>
          <w:tab w:val="num" w:pos="5040"/>
        </w:tabs>
        <w:ind w:left="5040" w:hanging="360"/>
      </w:pPr>
      <w:rPr>
        <w:rFonts w:ascii="Arial" w:hAnsi="Arial" w:hint="default"/>
      </w:rPr>
    </w:lvl>
    <w:lvl w:ilvl="7" w:tplc="05866744" w:tentative="1">
      <w:start w:val="1"/>
      <w:numFmt w:val="bullet"/>
      <w:lvlText w:val="•"/>
      <w:lvlJc w:val="left"/>
      <w:pPr>
        <w:tabs>
          <w:tab w:val="num" w:pos="5760"/>
        </w:tabs>
        <w:ind w:left="5760" w:hanging="360"/>
      </w:pPr>
      <w:rPr>
        <w:rFonts w:ascii="Arial" w:hAnsi="Arial" w:hint="default"/>
      </w:rPr>
    </w:lvl>
    <w:lvl w:ilvl="8" w:tplc="F31ABC7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CCD0B6D"/>
    <w:multiLevelType w:val="hybridMultilevel"/>
    <w:tmpl w:val="B63A6AAA"/>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D201B30"/>
    <w:multiLevelType w:val="hybridMultilevel"/>
    <w:tmpl w:val="651A2B46"/>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1" w15:restartNumberingAfterBreak="0">
    <w:nsid w:val="7D9C1DAE"/>
    <w:multiLevelType w:val="hybridMultilevel"/>
    <w:tmpl w:val="8C120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16049632">
    <w:abstractNumId w:val="9"/>
  </w:num>
  <w:num w:numId="2" w16cid:durableId="180239796">
    <w:abstractNumId w:val="54"/>
  </w:num>
  <w:num w:numId="3" w16cid:durableId="1682121995">
    <w:abstractNumId w:val="64"/>
  </w:num>
  <w:num w:numId="4" w16cid:durableId="831022688">
    <w:abstractNumId w:val="68"/>
  </w:num>
  <w:num w:numId="5" w16cid:durableId="1432970115">
    <w:abstractNumId w:val="21"/>
  </w:num>
  <w:num w:numId="6" w16cid:durableId="2012025421">
    <w:abstractNumId w:val="46"/>
  </w:num>
  <w:num w:numId="7" w16cid:durableId="546113668">
    <w:abstractNumId w:val="41"/>
  </w:num>
  <w:num w:numId="8" w16cid:durableId="123810182">
    <w:abstractNumId w:val="35"/>
  </w:num>
  <w:num w:numId="9" w16cid:durableId="1131633222">
    <w:abstractNumId w:val="37"/>
  </w:num>
  <w:num w:numId="10" w16cid:durableId="1986349367">
    <w:abstractNumId w:val="6"/>
  </w:num>
  <w:num w:numId="11" w16cid:durableId="1347712349">
    <w:abstractNumId w:val="38"/>
  </w:num>
  <w:num w:numId="12" w16cid:durableId="369040952">
    <w:abstractNumId w:val="57"/>
  </w:num>
  <w:num w:numId="13" w16cid:durableId="1340540728">
    <w:abstractNumId w:val="60"/>
  </w:num>
  <w:num w:numId="14" w16cid:durableId="571428429">
    <w:abstractNumId w:val="20"/>
  </w:num>
  <w:num w:numId="15" w16cid:durableId="1593587161">
    <w:abstractNumId w:val="63"/>
  </w:num>
  <w:num w:numId="16" w16cid:durableId="1041437537">
    <w:abstractNumId w:val="58"/>
  </w:num>
  <w:num w:numId="17" w16cid:durableId="1253707275">
    <w:abstractNumId w:val="66"/>
  </w:num>
  <w:num w:numId="18" w16cid:durableId="1746487804">
    <w:abstractNumId w:val="55"/>
  </w:num>
  <w:num w:numId="19" w16cid:durableId="34477122">
    <w:abstractNumId w:val="62"/>
  </w:num>
  <w:num w:numId="20" w16cid:durableId="1684239208">
    <w:abstractNumId w:val="10"/>
  </w:num>
  <w:num w:numId="21" w16cid:durableId="81027073">
    <w:abstractNumId w:val="17"/>
  </w:num>
  <w:num w:numId="22" w16cid:durableId="433092227">
    <w:abstractNumId w:val="67"/>
  </w:num>
  <w:num w:numId="23" w16cid:durableId="1789008003">
    <w:abstractNumId w:val="24"/>
  </w:num>
  <w:num w:numId="24" w16cid:durableId="1629897574">
    <w:abstractNumId w:val="51"/>
  </w:num>
  <w:num w:numId="25" w16cid:durableId="1307054774">
    <w:abstractNumId w:val="69"/>
  </w:num>
  <w:num w:numId="26" w16cid:durableId="764615431">
    <w:abstractNumId w:val="0"/>
  </w:num>
  <w:num w:numId="27" w16cid:durableId="1491748528">
    <w:abstractNumId w:val="34"/>
  </w:num>
  <w:num w:numId="28" w16cid:durableId="1032922496">
    <w:abstractNumId w:val="40"/>
  </w:num>
  <w:num w:numId="29" w16cid:durableId="1286959222">
    <w:abstractNumId w:val="25"/>
  </w:num>
  <w:num w:numId="30" w16cid:durableId="727919764">
    <w:abstractNumId w:val="19"/>
  </w:num>
  <w:num w:numId="31" w16cid:durableId="1203176193">
    <w:abstractNumId w:val="30"/>
  </w:num>
  <w:num w:numId="32" w16cid:durableId="353579681">
    <w:abstractNumId w:val="22"/>
  </w:num>
  <w:num w:numId="33" w16cid:durableId="1898008853">
    <w:abstractNumId w:val="44"/>
  </w:num>
  <w:num w:numId="34" w16cid:durableId="1032337579">
    <w:abstractNumId w:val="28"/>
  </w:num>
  <w:num w:numId="35" w16cid:durableId="1100561609">
    <w:abstractNumId w:val="47"/>
  </w:num>
  <w:num w:numId="36" w16cid:durableId="526214358">
    <w:abstractNumId w:val="4"/>
  </w:num>
  <w:num w:numId="37" w16cid:durableId="158737708">
    <w:abstractNumId w:val="59"/>
  </w:num>
  <w:num w:numId="38" w16cid:durableId="1356468918">
    <w:abstractNumId w:val="26"/>
  </w:num>
  <w:num w:numId="39" w16cid:durableId="447505528">
    <w:abstractNumId w:val="12"/>
  </w:num>
  <w:num w:numId="40" w16cid:durableId="1377468079">
    <w:abstractNumId w:val="70"/>
  </w:num>
  <w:num w:numId="41" w16cid:durableId="1532837750">
    <w:abstractNumId w:val="53"/>
  </w:num>
  <w:num w:numId="42" w16cid:durableId="1865898232">
    <w:abstractNumId w:val="32"/>
  </w:num>
  <w:num w:numId="43" w16cid:durableId="1503155888">
    <w:abstractNumId w:val="39"/>
  </w:num>
  <w:num w:numId="44" w16cid:durableId="1698776036">
    <w:abstractNumId w:val="56"/>
  </w:num>
  <w:num w:numId="45" w16cid:durableId="1700424852">
    <w:abstractNumId w:val="36"/>
  </w:num>
  <w:num w:numId="46" w16cid:durableId="1045645324">
    <w:abstractNumId w:val="48"/>
  </w:num>
  <w:num w:numId="47" w16cid:durableId="1996448198">
    <w:abstractNumId w:val="45"/>
  </w:num>
  <w:num w:numId="48" w16cid:durableId="1717193685">
    <w:abstractNumId w:val="49"/>
  </w:num>
  <w:num w:numId="49" w16cid:durableId="2064474788">
    <w:abstractNumId w:val="29"/>
  </w:num>
  <w:num w:numId="50" w16cid:durableId="10449368">
    <w:abstractNumId w:val="31"/>
  </w:num>
  <w:num w:numId="51" w16cid:durableId="1824395994">
    <w:abstractNumId w:val="1"/>
  </w:num>
  <w:num w:numId="52" w16cid:durableId="1913202329">
    <w:abstractNumId w:val="50"/>
  </w:num>
  <w:num w:numId="53" w16cid:durableId="1617365955">
    <w:abstractNumId w:val="42"/>
  </w:num>
  <w:num w:numId="54" w16cid:durableId="1321541621">
    <w:abstractNumId w:val="3"/>
  </w:num>
  <w:num w:numId="55" w16cid:durableId="1079980502">
    <w:abstractNumId w:val="7"/>
  </w:num>
  <w:num w:numId="56" w16cid:durableId="563952013">
    <w:abstractNumId w:val="16"/>
  </w:num>
  <w:num w:numId="57" w16cid:durableId="696008995">
    <w:abstractNumId w:val="11"/>
  </w:num>
  <w:num w:numId="58" w16cid:durableId="1468551631">
    <w:abstractNumId w:val="13"/>
  </w:num>
  <w:num w:numId="59" w16cid:durableId="1198856922">
    <w:abstractNumId w:val="43"/>
  </w:num>
  <w:num w:numId="60" w16cid:durableId="1904179268">
    <w:abstractNumId w:val="5"/>
  </w:num>
  <w:num w:numId="61" w16cid:durableId="652874102">
    <w:abstractNumId w:val="8"/>
  </w:num>
  <w:num w:numId="62" w16cid:durableId="339822207">
    <w:abstractNumId w:val="27"/>
  </w:num>
  <w:num w:numId="63" w16cid:durableId="1079404695">
    <w:abstractNumId w:val="52"/>
  </w:num>
  <w:num w:numId="64" w16cid:durableId="1349482975">
    <w:abstractNumId w:val="71"/>
  </w:num>
  <w:num w:numId="65" w16cid:durableId="1765805730">
    <w:abstractNumId w:val="15"/>
  </w:num>
  <w:num w:numId="66" w16cid:durableId="2074891711">
    <w:abstractNumId w:val="14"/>
  </w:num>
  <w:num w:numId="67" w16cid:durableId="1148011551">
    <w:abstractNumId w:val="65"/>
  </w:num>
  <w:num w:numId="68" w16cid:durableId="1948417873">
    <w:abstractNumId w:val="61"/>
  </w:num>
  <w:num w:numId="69" w16cid:durableId="791945027">
    <w:abstractNumId w:val="18"/>
  </w:num>
  <w:num w:numId="70" w16cid:durableId="1800682273">
    <w:abstractNumId w:val="23"/>
  </w:num>
  <w:num w:numId="71" w16cid:durableId="483787169">
    <w:abstractNumId w:val="33"/>
  </w:num>
  <w:num w:numId="72" w16cid:durableId="2003241984">
    <w:abstractNumId w:val="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EC4"/>
    <w:rsid w:val="001F100B"/>
    <w:rsid w:val="0033730A"/>
    <w:rsid w:val="00517389"/>
    <w:rsid w:val="00682E00"/>
    <w:rsid w:val="00896895"/>
    <w:rsid w:val="008C63A0"/>
    <w:rsid w:val="00C03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6A5B1"/>
  <w15:chartTrackingRefBased/>
  <w15:docId w15:val="{27C7BF4B-F204-4757-8E43-9F644CA9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03EC4"/>
    <w:pPr>
      <w:keepNext/>
      <w:spacing w:before="240" w:after="60" w:line="276" w:lineRule="auto"/>
      <w:outlineLvl w:val="0"/>
    </w:pPr>
    <w:rPr>
      <w:rFonts w:ascii="Cambria" w:eastAsia="Times New Roman" w:hAnsi="Cambria" w:cs="Times New Roman"/>
      <w:b/>
      <w:bCs/>
      <w:kern w:val="32"/>
      <w:sz w:val="32"/>
      <w:szCs w:val="32"/>
      <w:lang w:eastAsia="fr-FR"/>
    </w:rPr>
  </w:style>
  <w:style w:type="paragraph" w:styleId="Titre2">
    <w:name w:val="heading 2"/>
    <w:basedOn w:val="Normal"/>
    <w:next w:val="Normal"/>
    <w:link w:val="Titre2Car"/>
    <w:uiPriority w:val="9"/>
    <w:unhideWhenUsed/>
    <w:qFormat/>
    <w:rsid w:val="00C03E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1"/>
    <w:unhideWhenUsed/>
    <w:qFormat/>
    <w:rsid w:val="00C03EC4"/>
    <w:pPr>
      <w:spacing w:before="200" w:after="0" w:line="271" w:lineRule="auto"/>
      <w:outlineLvl w:val="2"/>
    </w:pPr>
    <w:rPr>
      <w:rFonts w:ascii="Cambria" w:eastAsia="Times New Roman" w:hAnsi="Cambria" w:cs="Times New Roman"/>
      <w:b/>
      <w:bCs/>
    </w:rPr>
  </w:style>
  <w:style w:type="paragraph" w:styleId="Titre4">
    <w:name w:val="heading 4"/>
    <w:basedOn w:val="Normal"/>
    <w:next w:val="Normal"/>
    <w:link w:val="Titre4Car"/>
    <w:uiPriority w:val="9"/>
    <w:unhideWhenUsed/>
    <w:qFormat/>
    <w:rsid w:val="00C03EC4"/>
    <w:pPr>
      <w:keepNext/>
      <w:keepLines/>
      <w:spacing w:before="40" w:after="0" w:line="276" w:lineRule="auto"/>
      <w:outlineLvl w:val="3"/>
    </w:pPr>
    <w:rPr>
      <w:rFonts w:asciiTheme="majorHAnsi" w:eastAsiaTheme="majorEastAsia" w:hAnsiTheme="majorHAnsi" w:cstheme="majorBidi"/>
      <w:i/>
      <w:iCs/>
      <w:color w:val="2F5496" w:themeColor="accent1" w:themeShade="BF"/>
      <w:lang w:eastAsia="fr-FR"/>
    </w:rPr>
  </w:style>
  <w:style w:type="paragraph" w:styleId="Titre5">
    <w:name w:val="heading 5"/>
    <w:basedOn w:val="Normal"/>
    <w:next w:val="Normal"/>
    <w:link w:val="Titre5Car"/>
    <w:uiPriority w:val="9"/>
    <w:unhideWhenUsed/>
    <w:qFormat/>
    <w:rsid w:val="00C03EC4"/>
    <w:pPr>
      <w:keepNext/>
      <w:keepLines/>
      <w:spacing w:before="40" w:after="0" w:line="276" w:lineRule="auto"/>
      <w:outlineLvl w:val="4"/>
    </w:pPr>
    <w:rPr>
      <w:rFonts w:asciiTheme="majorHAnsi" w:eastAsiaTheme="majorEastAsia" w:hAnsiTheme="majorHAnsi" w:cstheme="majorBidi"/>
      <w:color w:val="2F5496" w:themeColor="accent1" w:themeShade="B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03EC4"/>
    <w:rPr>
      <w:rFonts w:ascii="Cambria" w:eastAsia="Times New Roman" w:hAnsi="Cambria" w:cs="Times New Roman"/>
      <w:b/>
      <w:bCs/>
      <w:kern w:val="32"/>
      <w:sz w:val="32"/>
      <w:szCs w:val="32"/>
      <w:lang w:eastAsia="fr-FR"/>
    </w:rPr>
  </w:style>
  <w:style w:type="character" w:customStyle="1" w:styleId="Titre2Car">
    <w:name w:val="Titre 2 Car"/>
    <w:basedOn w:val="Policepardfaut"/>
    <w:link w:val="Titre2"/>
    <w:uiPriority w:val="9"/>
    <w:rsid w:val="00C03EC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1"/>
    <w:rsid w:val="00C03EC4"/>
    <w:rPr>
      <w:rFonts w:ascii="Cambria" w:eastAsia="Times New Roman" w:hAnsi="Cambria" w:cs="Times New Roman"/>
      <w:b/>
      <w:bCs/>
    </w:rPr>
  </w:style>
  <w:style w:type="character" w:customStyle="1" w:styleId="Titre4Car">
    <w:name w:val="Titre 4 Car"/>
    <w:basedOn w:val="Policepardfaut"/>
    <w:link w:val="Titre4"/>
    <w:uiPriority w:val="9"/>
    <w:rsid w:val="00C03EC4"/>
    <w:rPr>
      <w:rFonts w:asciiTheme="majorHAnsi" w:eastAsiaTheme="majorEastAsia" w:hAnsiTheme="majorHAnsi" w:cstheme="majorBidi"/>
      <w:i/>
      <w:iCs/>
      <w:color w:val="2F5496" w:themeColor="accent1" w:themeShade="BF"/>
      <w:lang w:eastAsia="fr-FR"/>
    </w:rPr>
  </w:style>
  <w:style w:type="character" w:customStyle="1" w:styleId="Titre5Car">
    <w:name w:val="Titre 5 Car"/>
    <w:basedOn w:val="Policepardfaut"/>
    <w:link w:val="Titre5"/>
    <w:uiPriority w:val="9"/>
    <w:rsid w:val="00C03EC4"/>
    <w:rPr>
      <w:rFonts w:asciiTheme="majorHAnsi" w:eastAsiaTheme="majorEastAsia" w:hAnsiTheme="majorHAnsi" w:cstheme="majorBidi"/>
      <w:color w:val="2F5496" w:themeColor="accent1" w:themeShade="BF"/>
      <w:lang w:eastAsia="fr-FR"/>
    </w:rPr>
  </w:style>
  <w:style w:type="paragraph" w:styleId="Paragraphedeliste">
    <w:name w:val="List Paragraph"/>
    <w:aliases w:val="List Paragraph (numbered (a)),Tableau Adere,References,List Paragraph1,Bullets,Lapis Bulleted List,Numbered paragraph,List Paragraph-ExecSummary,Paragraphe de liste1,Numbered List Paragraph,Medium Grid 1 - Accent 21,Premier,stil3,RM1"/>
    <w:basedOn w:val="Normal"/>
    <w:link w:val="ParagraphedelisteCar"/>
    <w:uiPriority w:val="34"/>
    <w:qFormat/>
    <w:rsid w:val="00C03EC4"/>
    <w:pPr>
      <w:spacing w:after="200" w:line="276" w:lineRule="auto"/>
      <w:ind w:left="720"/>
      <w:contextualSpacing/>
    </w:pPr>
    <w:rPr>
      <w:rFonts w:ascii="Calibri" w:eastAsia="Times New Roman" w:hAnsi="Calibri" w:cs="Times New Roman"/>
      <w:sz w:val="20"/>
      <w:szCs w:val="20"/>
      <w:lang w:eastAsia="fr-FR"/>
    </w:rPr>
  </w:style>
  <w:style w:type="character" w:customStyle="1" w:styleId="ParagraphedelisteCar">
    <w:name w:val="Paragraphe de liste Car"/>
    <w:aliases w:val="List Paragraph (numbered (a)) Car,Tableau Adere Car,References Car,List Paragraph1 Car,Bullets Car,Lapis Bulleted List Car,Numbered paragraph Car,List Paragraph-ExecSummary Car,Paragraphe de liste1 Car,Numbered List Paragraph Car"/>
    <w:link w:val="Paragraphedeliste"/>
    <w:uiPriority w:val="34"/>
    <w:qFormat/>
    <w:locked/>
    <w:rsid w:val="00C03EC4"/>
    <w:rPr>
      <w:rFonts w:ascii="Calibri" w:eastAsia="Times New Roman" w:hAnsi="Calibri" w:cs="Times New Roman"/>
      <w:sz w:val="20"/>
      <w:szCs w:val="20"/>
      <w:lang w:eastAsia="fr-FR"/>
    </w:rPr>
  </w:style>
  <w:style w:type="table" w:styleId="Grilledutableau">
    <w:name w:val="Table Grid"/>
    <w:aliases w:val="Table long document"/>
    <w:basedOn w:val="TableauNormal"/>
    <w:uiPriority w:val="39"/>
    <w:rsid w:val="00C03EC4"/>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3EC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ody2Car">
    <w:name w:val="Body2 Car"/>
    <w:link w:val="Body2"/>
    <w:locked/>
    <w:rsid w:val="00C03EC4"/>
    <w:rPr>
      <w:rFonts w:ascii="Arial" w:eastAsia="Times New Roman" w:hAnsi="Arial" w:cs="Arial"/>
      <w:sz w:val="20"/>
      <w:szCs w:val="20"/>
      <w:lang w:eastAsia="fr-FR"/>
    </w:rPr>
  </w:style>
  <w:style w:type="paragraph" w:customStyle="1" w:styleId="Body2">
    <w:name w:val="Body2"/>
    <w:basedOn w:val="Normal"/>
    <w:link w:val="Body2Car"/>
    <w:rsid w:val="00C03EC4"/>
    <w:pPr>
      <w:spacing w:after="240" w:line="240" w:lineRule="auto"/>
      <w:ind w:left="567"/>
      <w:jc w:val="both"/>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C03EC4"/>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C03EC4"/>
    <w:rPr>
      <w:rFonts w:ascii="Tahoma" w:eastAsia="Times New Roman" w:hAnsi="Tahoma" w:cs="Tahoma"/>
      <w:sz w:val="16"/>
      <w:szCs w:val="16"/>
      <w:lang w:eastAsia="fr-FR"/>
    </w:rPr>
  </w:style>
  <w:style w:type="paragraph" w:styleId="En-tte">
    <w:name w:val="header"/>
    <w:basedOn w:val="Normal"/>
    <w:link w:val="En-tteCar"/>
    <w:uiPriority w:val="99"/>
    <w:unhideWhenUsed/>
    <w:rsid w:val="00C03EC4"/>
    <w:pPr>
      <w:tabs>
        <w:tab w:val="center" w:pos="4536"/>
        <w:tab w:val="right" w:pos="9072"/>
      </w:tabs>
      <w:spacing w:after="0" w:line="240" w:lineRule="auto"/>
    </w:pPr>
    <w:rPr>
      <w:rFonts w:ascii="Calibri" w:eastAsia="Times New Roman" w:hAnsi="Calibri" w:cs="Times New Roman"/>
      <w:lang w:eastAsia="fr-FR"/>
    </w:rPr>
  </w:style>
  <w:style w:type="character" w:customStyle="1" w:styleId="En-tteCar">
    <w:name w:val="En-tête Car"/>
    <w:basedOn w:val="Policepardfaut"/>
    <w:link w:val="En-tte"/>
    <w:uiPriority w:val="99"/>
    <w:rsid w:val="00C03EC4"/>
    <w:rPr>
      <w:rFonts w:ascii="Calibri" w:eastAsia="Times New Roman" w:hAnsi="Calibri" w:cs="Times New Roman"/>
      <w:lang w:eastAsia="fr-FR"/>
    </w:rPr>
  </w:style>
  <w:style w:type="paragraph" w:styleId="Pieddepage">
    <w:name w:val="footer"/>
    <w:basedOn w:val="Normal"/>
    <w:link w:val="PieddepageCar"/>
    <w:uiPriority w:val="99"/>
    <w:unhideWhenUsed/>
    <w:rsid w:val="00C03EC4"/>
    <w:pPr>
      <w:tabs>
        <w:tab w:val="center" w:pos="4536"/>
        <w:tab w:val="right" w:pos="9072"/>
      </w:tabs>
      <w:spacing w:after="0" w:line="240" w:lineRule="auto"/>
    </w:pPr>
    <w:rPr>
      <w:rFonts w:ascii="Calibri" w:eastAsia="Times New Roman" w:hAnsi="Calibri" w:cs="Times New Roman"/>
      <w:lang w:eastAsia="fr-FR"/>
    </w:rPr>
  </w:style>
  <w:style w:type="character" w:customStyle="1" w:styleId="PieddepageCar">
    <w:name w:val="Pied de page Car"/>
    <w:basedOn w:val="Policepardfaut"/>
    <w:link w:val="Pieddepage"/>
    <w:uiPriority w:val="99"/>
    <w:rsid w:val="00C03EC4"/>
    <w:rPr>
      <w:rFonts w:ascii="Calibri" w:eastAsia="Times New Roman" w:hAnsi="Calibri" w:cs="Times New Roman"/>
      <w:lang w:eastAsia="fr-FR"/>
    </w:rPr>
  </w:style>
  <w:style w:type="paragraph" w:styleId="Corpsdetexte">
    <w:name w:val="Body Text"/>
    <w:basedOn w:val="Normal"/>
    <w:link w:val="CorpsdetexteCar"/>
    <w:uiPriority w:val="1"/>
    <w:qFormat/>
    <w:rsid w:val="00C03EC4"/>
    <w:pPr>
      <w:widowControl w:val="0"/>
      <w:suppressAutoHyphens/>
      <w:spacing w:after="0" w:line="240" w:lineRule="auto"/>
      <w:jc w:val="both"/>
    </w:pPr>
    <w:rPr>
      <w:rFonts w:ascii="Arial" w:eastAsia="Times New Roman" w:hAnsi="Arial" w:cs="Times New Roman"/>
      <w:i/>
      <w:sz w:val="20"/>
      <w:szCs w:val="20"/>
      <w:lang w:val="es-ES" w:eastAsia="ar-SA"/>
    </w:rPr>
  </w:style>
  <w:style w:type="character" w:customStyle="1" w:styleId="CorpsdetexteCar">
    <w:name w:val="Corps de texte Car"/>
    <w:basedOn w:val="Policepardfaut"/>
    <w:link w:val="Corpsdetexte"/>
    <w:uiPriority w:val="1"/>
    <w:rsid w:val="00C03EC4"/>
    <w:rPr>
      <w:rFonts w:ascii="Arial" w:eastAsia="Times New Roman" w:hAnsi="Arial" w:cs="Times New Roman"/>
      <w:i/>
      <w:sz w:val="20"/>
      <w:szCs w:val="20"/>
      <w:lang w:val="es-ES" w:eastAsia="ar-SA"/>
    </w:rPr>
  </w:style>
  <w:style w:type="character" w:styleId="Accentuation">
    <w:name w:val="Emphasis"/>
    <w:aliases w:val="normal"/>
    <w:qFormat/>
    <w:rsid w:val="00C03EC4"/>
    <w:rPr>
      <w:b/>
      <w:bCs/>
      <w:i/>
      <w:iCs/>
      <w:spacing w:val="10"/>
      <w:bdr w:val="none" w:sz="0" w:space="0" w:color="auto"/>
      <w:shd w:val="clear" w:color="auto" w:fill="auto"/>
    </w:rPr>
  </w:style>
  <w:style w:type="paragraph" w:styleId="Sansinterligne">
    <w:name w:val="No Spacing"/>
    <w:basedOn w:val="Normal"/>
    <w:link w:val="SansinterligneCar"/>
    <w:uiPriority w:val="1"/>
    <w:qFormat/>
    <w:rsid w:val="00C03EC4"/>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C03EC4"/>
    <w:rPr>
      <w:rFonts w:ascii="Calibri" w:eastAsia="Times New Roman" w:hAnsi="Calibri" w:cs="Times New Roman"/>
    </w:rPr>
  </w:style>
  <w:style w:type="paragraph" w:customStyle="1" w:styleId="p8">
    <w:name w:val="p8"/>
    <w:basedOn w:val="Normal"/>
    <w:rsid w:val="00C03EC4"/>
    <w:pPr>
      <w:widowControl w:val="0"/>
      <w:tabs>
        <w:tab w:val="left" w:pos="323"/>
      </w:tabs>
      <w:overflowPunct w:val="0"/>
      <w:autoSpaceDE w:val="0"/>
      <w:autoSpaceDN w:val="0"/>
      <w:adjustRightInd w:val="0"/>
      <w:spacing w:after="0" w:line="240" w:lineRule="atLeast"/>
      <w:ind w:left="1145" w:hanging="323"/>
      <w:textAlignment w:val="baseline"/>
    </w:pPr>
    <w:rPr>
      <w:rFonts w:ascii="Times New Roman" w:eastAsia="Times New Roman" w:hAnsi="Times New Roman" w:cs="Times New Roman"/>
      <w:sz w:val="24"/>
      <w:szCs w:val="20"/>
      <w:lang w:val="en-US"/>
    </w:rPr>
  </w:style>
  <w:style w:type="paragraph" w:customStyle="1" w:styleId="Sansinterligne1">
    <w:name w:val="Sans interligne1"/>
    <w:uiPriority w:val="99"/>
    <w:rsid w:val="00C03EC4"/>
    <w:pPr>
      <w:spacing w:after="0" w:line="240" w:lineRule="auto"/>
    </w:pPr>
    <w:rPr>
      <w:rFonts w:ascii="Arial" w:eastAsia="Times New Roman" w:hAnsi="Arial" w:cs="Arial"/>
      <w:lang w:eastAsia="fr-FR"/>
    </w:rPr>
  </w:style>
  <w:style w:type="character" w:customStyle="1" w:styleId="apple-converted-space">
    <w:name w:val="apple-converted-space"/>
    <w:basedOn w:val="Policepardfaut"/>
    <w:rsid w:val="00C03EC4"/>
  </w:style>
  <w:style w:type="character" w:styleId="Lienhypertexte">
    <w:name w:val="Hyperlink"/>
    <w:basedOn w:val="Policepardfaut"/>
    <w:uiPriority w:val="99"/>
    <w:unhideWhenUsed/>
    <w:rsid w:val="00C03EC4"/>
    <w:rPr>
      <w:color w:val="0000FF"/>
      <w:u w:val="single"/>
    </w:rPr>
  </w:style>
  <w:style w:type="paragraph" w:styleId="NormalWeb">
    <w:name w:val="Normal (Web)"/>
    <w:basedOn w:val="Normal"/>
    <w:uiPriority w:val="99"/>
    <w:unhideWhenUsed/>
    <w:rsid w:val="00C03EC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1CarCar">
    <w:name w:val="Style1 Car Car"/>
    <w:basedOn w:val="Normal"/>
    <w:link w:val="Style1CarCarCar"/>
    <w:autoRedefine/>
    <w:rsid w:val="00C03EC4"/>
    <w:pPr>
      <w:spacing w:after="0" w:line="240" w:lineRule="auto"/>
      <w:jc w:val="both"/>
    </w:pPr>
    <w:rPr>
      <w:rFonts w:ascii="Arial" w:eastAsia="Times New Roman" w:hAnsi="Arial" w:cs="Times New Roman"/>
      <w:color w:val="000000"/>
      <w:sz w:val="24"/>
      <w:szCs w:val="24"/>
      <w:lang w:eastAsia="fr-FR"/>
    </w:rPr>
  </w:style>
  <w:style w:type="character" w:customStyle="1" w:styleId="Style1CarCarCar">
    <w:name w:val="Style1 Car Car Car"/>
    <w:link w:val="Style1CarCar"/>
    <w:rsid w:val="00C03EC4"/>
    <w:rPr>
      <w:rFonts w:ascii="Arial" w:eastAsia="Times New Roman" w:hAnsi="Arial" w:cs="Times New Roman"/>
      <w:color w:val="000000"/>
      <w:sz w:val="24"/>
      <w:szCs w:val="24"/>
      <w:lang w:eastAsia="fr-FR"/>
    </w:rPr>
  </w:style>
  <w:style w:type="paragraph" w:customStyle="1" w:styleId="Style2">
    <w:name w:val="Style2"/>
    <w:basedOn w:val="Normal"/>
    <w:next w:val="Style1CarCar"/>
    <w:autoRedefine/>
    <w:rsid w:val="00C03EC4"/>
    <w:pPr>
      <w:numPr>
        <w:numId w:val="1"/>
      </w:numPr>
      <w:tabs>
        <w:tab w:val="left" w:pos="862"/>
      </w:tabs>
      <w:spacing w:before="120" w:after="120" w:line="240" w:lineRule="auto"/>
      <w:ind w:left="862" w:hanging="357"/>
      <w:jc w:val="both"/>
    </w:pPr>
    <w:rPr>
      <w:rFonts w:ascii="Times New Roman" w:eastAsia="Times New Roman" w:hAnsi="Times New Roman" w:cs="Times New Roman"/>
      <w:b/>
      <w:color w:val="FF0000"/>
      <w:sz w:val="24"/>
      <w:szCs w:val="24"/>
      <w:lang w:eastAsia="fr-FR"/>
    </w:rPr>
  </w:style>
  <w:style w:type="paragraph" w:styleId="TM1">
    <w:name w:val="toc 1"/>
    <w:basedOn w:val="Normal"/>
    <w:next w:val="Normal"/>
    <w:autoRedefine/>
    <w:uiPriority w:val="39"/>
    <w:rsid w:val="00C03EC4"/>
    <w:pPr>
      <w:widowControl w:val="0"/>
      <w:autoSpaceDE w:val="0"/>
      <w:autoSpaceDN w:val="0"/>
      <w:adjustRightInd w:val="0"/>
      <w:spacing w:before="120" w:after="60" w:line="240" w:lineRule="auto"/>
      <w:jc w:val="both"/>
    </w:pPr>
    <w:rPr>
      <w:rFonts w:ascii="Times New Roman" w:eastAsia="Times New Roman" w:hAnsi="Times New Roman" w:cs="Times New Roman"/>
      <w:sz w:val="24"/>
      <w:szCs w:val="24"/>
      <w:lang w:eastAsia="fr-FR"/>
    </w:rPr>
  </w:style>
  <w:style w:type="paragraph" w:customStyle="1" w:styleId="xl37">
    <w:name w:val="xl37"/>
    <w:basedOn w:val="Normal"/>
    <w:rsid w:val="00C03EC4"/>
    <w:pPr>
      <w:pBdr>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fr-FR"/>
    </w:rPr>
  </w:style>
  <w:style w:type="paragraph" w:styleId="Notedebasdepage">
    <w:name w:val="footnote text"/>
    <w:aliases w:val="Footnote Text Char1 Char,Footnote Text Char Char1 Char,Footnote Text Char Char Char Char,FOOTNOTES Char Char Char,fn Char Char Char,single space Char Char Char,footnote text Char Char Char,fn Char2,Footnote Text Char1,fn,Geneva 9,ft"/>
    <w:basedOn w:val="Normal"/>
    <w:link w:val="NotedebasdepageCar"/>
    <w:uiPriority w:val="99"/>
    <w:unhideWhenUsed/>
    <w:rsid w:val="00C03EC4"/>
    <w:pPr>
      <w:spacing w:after="0" w:line="240" w:lineRule="auto"/>
    </w:pPr>
    <w:rPr>
      <w:rFonts w:ascii="Calibri" w:eastAsia="Times New Roman" w:hAnsi="Calibri" w:cs="Times New Roman"/>
      <w:sz w:val="20"/>
      <w:szCs w:val="20"/>
    </w:rPr>
  </w:style>
  <w:style w:type="character" w:customStyle="1" w:styleId="NotedebasdepageCar">
    <w:name w:val="Note de bas de page Car"/>
    <w:aliases w:val="Footnote Text Char1 Char Car,Footnote Text Char Char1 Char Car,Footnote Text Char Char Char Char Car,FOOTNOTES Char Char Char Car,fn Char Char Char Car,single space Char Char Char Car,footnote text Char Char Char Car,fn Char2 Car"/>
    <w:basedOn w:val="Policepardfaut"/>
    <w:link w:val="Notedebasdepage"/>
    <w:uiPriority w:val="99"/>
    <w:rsid w:val="00C03EC4"/>
    <w:rPr>
      <w:rFonts w:ascii="Calibri" w:eastAsia="Times New Roman" w:hAnsi="Calibri" w:cs="Times New Roman"/>
      <w:sz w:val="20"/>
      <w:szCs w:val="20"/>
    </w:rPr>
  </w:style>
  <w:style w:type="character" w:styleId="Appelnotedebasdep">
    <w:name w:val="footnote reference"/>
    <w:aliases w:val="16 Point,Superscript 6 Point,ftref,fr,(NECG) Footnote Reference,Ref,de nota al pie,footnote ref,Footnote Reference Number,Footnote Ref in FtNote,BVI fnr,Référence pied de page,Superscript 6 Point + 11 pt, Char Char2 Char Char"/>
    <w:basedOn w:val="Policepardfaut"/>
    <w:unhideWhenUsed/>
    <w:rsid w:val="00C03EC4"/>
    <w:rPr>
      <w:rFonts w:cs="Times New Roman"/>
      <w:vertAlign w:val="superscript"/>
    </w:rPr>
  </w:style>
  <w:style w:type="paragraph" w:styleId="Corpsdetexte2">
    <w:name w:val="Body Text 2"/>
    <w:basedOn w:val="Normal"/>
    <w:link w:val="Corpsdetexte2Car"/>
    <w:uiPriority w:val="99"/>
    <w:semiHidden/>
    <w:unhideWhenUsed/>
    <w:rsid w:val="00C03EC4"/>
    <w:pPr>
      <w:widowControl w:val="0"/>
      <w:spacing w:after="120" w:line="480" w:lineRule="auto"/>
    </w:pPr>
    <w:rPr>
      <w:rFonts w:ascii="Calibri" w:eastAsia="Calibri" w:hAnsi="Calibri" w:cs="Times New Roman"/>
      <w:lang w:val="en-US"/>
    </w:rPr>
  </w:style>
  <w:style w:type="character" w:customStyle="1" w:styleId="Corpsdetexte2Car">
    <w:name w:val="Corps de texte 2 Car"/>
    <w:basedOn w:val="Policepardfaut"/>
    <w:link w:val="Corpsdetexte2"/>
    <w:uiPriority w:val="99"/>
    <w:semiHidden/>
    <w:rsid w:val="00C03EC4"/>
    <w:rPr>
      <w:rFonts w:ascii="Calibri" w:eastAsia="Calibri" w:hAnsi="Calibri" w:cs="Times New Roman"/>
      <w:lang w:val="en-US"/>
    </w:rPr>
  </w:style>
  <w:style w:type="paragraph" w:customStyle="1" w:styleId="BodyText31">
    <w:name w:val="Body Text 31"/>
    <w:basedOn w:val="Normal"/>
    <w:rsid w:val="00C03EC4"/>
    <w:pPr>
      <w:spacing w:after="0" w:line="240" w:lineRule="auto"/>
    </w:pPr>
    <w:rPr>
      <w:rFonts w:ascii="Times New Roman" w:eastAsia="Times New Roman" w:hAnsi="Times New Roman" w:cs="Times New Roman"/>
      <w:b/>
      <w:bCs/>
      <w:sz w:val="44"/>
      <w:szCs w:val="44"/>
      <w:lang w:eastAsia="fr-FR"/>
    </w:rPr>
  </w:style>
  <w:style w:type="paragraph" w:customStyle="1" w:styleId="BlockText1">
    <w:name w:val="Block Text1"/>
    <w:basedOn w:val="Normal"/>
    <w:rsid w:val="00C03EC4"/>
    <w:pPr>
      <w:tabs>
        <w:tab w:val="left" w:pos="709"/>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40" w:lineRule="auto"/>
      <w:ind w:left="20" w:right="18"/>
      <w:textAlignment w:val="baseline"/>
    </w:pPr>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iPriority w:val="99"/>
    <w:semiHidden/>
    <w:unhideWhenUsed/>
    <w:rsid w:val="00C03EC4"/>
    <w:pPr>
      <w:spacing w:after="120" w:line="276" w:lineRule="auto"/>
      <w:ind w:left="283"/>
    </w:pPr>
    <w:rPr>
      <w:rFonts w:ascii="Calibri" w:eastAsia="Calibri" w:hAnsi="Calibri" w:cs="Times New Roman"/>
      <w:sz w:val="16"/>
      <w:szCs w:val="16"/>
    </w:rPr>
  </w:style>
  <w:style w:type="character" w:customStyle="1" w:styleId="Retraitcorpsdetexte3Car">
    <w:name w:val="Retrait corps de texte 3 Car"/>
    <w:basedOn w:val="Policepardfaut"/>
    <w:link w:val="Retraitcorpsdetexte3"/>
    <w:uiPriority w:val="99"/>
    <w:semiHidden/>
    <w:rsid w:val="00C03EC4"/>
    <w:rPr>
      <w:rFonts w:ascii="Calibri" w:eastAsia="Calibri" w:hAnsi="Calibri" w:cs="Times New Roman"/>
      <w:sz w:val="16"/>
      <w:szCs w:val="16"/>
    </w:rPr>
  </w:style>
  <w:style w:type="character" w:customStyle="1" w:styleId="LgendeCar">
    <w:name w:val="Légende Car"/>
    <w:aliases w:val="Car Car,Caption Char2 Car,Caption Char1 Char1 Car,Caption Char Char Char Car,Caption Char1 Char Char Char Car,Caption Char Char Char1 Char Char Car,Caption Char1 Char Char Char Char Char Car,Caption Char3 Char Char Char Char Char Char Car"/>
    <w:basedOn w:val="Policepardfaut"/>
    <w:link w:val="Lgende"/>
    <w:uiPriority w:val="35"/>
    <w:locked/>
    <w:rsid w:val="00C03EC4"/>
    <w:rPr>
      <w:rFonts w:ascii="Arial" w:eastAsia="Times New Roman" w:hAnsi="Arial" w:cs="Times New Roman"/>
      <w:b/>
      <w:bCs/>
      <w:sz w:val="20"/>
      <w:szCs w:val="20"/>
      <w:lang w:eastAsia="fr-FR"/>
    </w:rPr>
  </w:style>
  <w:style w:type="paragraph" w:styleId="Lgende">
    <w:name w:val="caption"/>
    <w:aliases w:val="Car,Caption Char2,Caption Char1 Char1,Caption Char Char Char,Caption Char1 Char Char Char,Caption Char Char Char1 Char Char,Caption Char1 Char Char Char Char Char,Caption Char3 Char Char Char Char Char Char,Caption Char1,Caption Char Char"/>
    <w:basedOn w:val="Normal"/>
    <w:next w:val="Normal"/>
    <w:link w:val="LgendeCar"/>
    <w:uiPriority w:val="35"/>
    <w:unhideWhenUsed/>
    <w:qFormat/>
    <w:rsid w:val="00C03EC4"/>
    <w:pPr>
      <w:spacing w:after="0" w:line="240" w:lineRule="auto"/>
      <w:jc w:val="both"/>
    </w:pPr>
    <w:rPr>
      <w:rFonts w:ascii="Arial" w:eastAsia="Times New Roman" w:hAnsi="Arial" w:cs="Times New Roman"/>
      <w:b/>
      <w:bCs/>
      <w:sz w:val="20"/>
      <w:szCs w:val="20"/>
      <w:lang w:eastAsia="fr-FR"/>
    </w:rPr>
  </w:style>
  <w:style w:type="paragraph" w:customStyle="1" w:styleId="BodyText21">
    <w:name w:val="Body Text 21"/>
    <w:basedOn w:val="Normal"/>
    <w:rsid w:val="00C03EC4"/>
    <w:pPr>
      <w:spacing w:after="0" w:line="240" w:lineRule="auto"/>
      <w:jc w:val="both"/>
    </w:pPr>
    <w:rPr>
      <w:rFonts w:ascii="Times New Roman" w:eastAsia="Times New Roman" w:hAnsi="Times New Roman" w:cs="Times New Roman"/>
      <w:b/>
      <w:bCs/>
      <w:sz w:val="44"/>
      <w:szCs w:val="44"/>
      <w:lang w:eastAsia="fr-FR"/>
    </w:rPr>
  </w:style>
  <w:style w:type="character" w:styleId="lev">
    <w:name w:val="Strong"/>
    <w:basedOn w:val="Policepardfaut"/>
    <w:uiPriority w:val="22"/>
    <w:qFormat/>
    <w:rsid w:val="00C03EC4"/>
    <w:rPr>
      <w:b/>
      <w:bCs/>
    </w:rPr>
  </w:style>
  <w:style w:type="paragraph" w:customStyle="1" w:styleId="StyleTitre112ptJustifiAvant0cmSuspendu076cm">
    <w:name w:val="Style Titre 1 + 12 pt Justifié Avant : 0 cm Suspendu : 076 cm ..."/>
    <w:basedOn w:val="Titre1"/>
    <w:rsid w:val="00C03EC4"/>
    <w:pPr>
      <w:spacing w:after="240" w:line="240" w:lineRule="auto"/>
      <w:ind w:left="432" w:hanging="432"/>
      <w:jc w:val="both"/>
    </w:pPr>
    <w:rPr>
      <w:rFonts w:ascii="Times New Roman" w:hAnsi="Times New Roman"/>
      <w:caps/>
      <w:kern w:val="0"/>
      <w:sz w:val="24"/>
      <w:szCs w:val="24"/>
    </w:rPr>
  </w:style>
  <w:style w:type="table" w:customStyle="1" w:styleId="Trameclaire-Accent11">
    <w:name w:val="Trame claire - Accent 11"/>
    <w:basedOn w:val="TableauNormal"/>
    <w:uiPriority w:val="60"/>
    <w:rsid w:val="00C03EC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Marquedecommentaire">
    <w:name w:val="annotation reference"/>
    <w:basedOn w:val="Policepardfaut"/>
    <w:uiPriority w:val="99"/>
    <w:semiHidden/>
    <w:unhideWhenUsed/>
    <w:rsid w:val="00C03EC4"/>
    <w:rPr>
      <w:sz w:val="16"/>
      <w:szCs w:val="16"/>
    </w:rPr>
  </w:style>
  <w:style w:type="paragraph" w:styleId="Commentaire">
    <w:name w:val="annotation text"/>
    <w:basedOn w:val="Normal"/>
    <w:link w:val="CommentaireCar"/>
    <w:uiPriority w:val="99"/>
    <w:semiHidden/>
    <w:unhideWhenUsed/>
    <w:rsid w:val="00C03EC4"/>
    <w:pPr>
      <w:spacing w:after="200" w:line="240" w:lineRule="auto"/>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semiHidden/>
    <w:rsid w:val="00C03EC4"/>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03EC4"/>
    <w:rPr>
      <w:b/>
      <w:bCs/>
    </w:rPr>
  </w:style>
  <w:style w:type="character" w:customStyle="1" w:styleId="ObjetducommentaireCar">
    <w:name w:val="Objet du commentaire Car"/>
    <w:basedOn w:val="CommentaireCar"/>
    <w:link w:val="Objetducommentaire"/>
    <w:uiPriority w:val="99"/>
    <w:semiHidden/>
    <w:rsid w:val="00C03EC4"/>
    <w:rPr>
      <w:rFonts w:ascii="Calibri" w:eastAsia="Times New Roman" w:hAnsi="Calibri" w:cs="Times New Roman"/>
      <w:b/>
      <w:bCs/>
      <w:sz w:val="20"/>
      <w:szCs w:val="20"/>
      <w:lang w:eastAsia="fr-FR"/>
    </w:rPr>
  </w:style>
  <w:style w:type="character" w:customStyle="1" w:styleId="StylenormalENABELCar">
    <w:name w:val="Style normal ENABEL Car"/>
    <w:basedOn w:val="Policepardfaut"/>
    <w:link w:val="StylenormalENABEL"/>
    <w:locked/>
    <w:rsid w:val="00C03EC4"/>
    <w:rPr>
      <w:rFonts w:ascii="Times New Roman" w:eastAsia="Times New Roman" w:hAnsi="Times New Roman" w:cs="Times New Roman"/>
      <w:kern w:val="18"/>
      <w:szCs w:val="24"/>
      <w:lang w:val="fr-BE"/>
    </w:rPr>
  </w:style>
  <w:style w:type="paragraph" w:customStyle="1" w:styleId="StylenormalENABEL">
    <w:name w:val="Style normal ENABEL"/>
    <w:basedOn w:val="Normal"/>
    <w:link w:val="StylenormalENABELCar"/>
    <w:qFormat/>
    <w:rsid w:val="00C03EC4"/>
    <w:pPr>
      <w:widowControl w:val="0"/>
      <w:suppressAutoHyphens/>
      <w:spacing w:after="0" w:line="240" w:lineRule="auto"/>
      <w:contextualSpacing/>
      <w:jc w:val="both"/>
    </w:pPr>
    <w:rPr>
      <w:rFonts w:ascii="Times New Roman" w:eastAsia="Times New Roman" w:hAnsi="Times New Roman" w:cs="Times New Roman"/>
      <w:kern w:val="18"/>
      <w:szCs w:val="24"/>
      <w:lang w:val="fr-BE"/>
    </w:rPr>
  </w:style>
  <w:style w:type="character" w:customStyle="1" w:styleId="AucunA">
    <w:name w:val="Aucun A"/>
    <w:basedOn w:val="Policepardfaut"/>
    <w:rsid w:val="00C03EC4"/>
  </w:style>
  <w:style w:type="character" w:customStyle="1" w:styleId="a">
    <w:name w:val="_"/>
    <w:basedOn w:val="Policepardfaut"/>
    <w:rsid w:val="00C03EC4"/>
  </w:style>
  <w:style w:type="character" w:customStyle="1" w:styleId="pg-1ff2">
    <w:name w:val="pg-1ff2"/>
    <w:basedOn w:val="Policepardfaut"/>
    <w:rsid w:val="00C03EC4"/>
  </w:style>
  <w:style w:type="character" w:customStyle="1" w:styleId="Aucun">
    <w:name w:val="Aucun"/>
    <w:rsid w:val="00C03EC4"/>
    <w:rPr>
      <w:lang w:val="fr-FR"/>
    </w:rPr>
  </w:style>
  <w:style w:type="character" w:customStyle="1" w:styleId="tlid-translation">
    <w:name w:val="tlid-translation"/>
    <w:basedOn w:val="Policepardfaut"/>
    <w:rsid w:val="00C03EC4"/>
  </w:style>
  <w:style w:type="paragraph" w:customStyle="1" w:styleId="CorpsA">
    <w:name w:val="Corps A"/>
    <w:rsid w:val="00C03EC4"/>
    <w:pPr>
      <w:spacing w:after="0" w:line="240" w:lineRule="auto"/>
    </w:pPr>
    <w:rPr>
      <w:rFonts w:ascii="Times New Roman" w:eastAsia="Arial Unicode MS" w:hAnsi="Times New Roman" w:cs="Arial Unicode MS"/>
      <w:color w:val="000000"/>
      <w:sz w:val="24"/>
      <w:szCs w:val="24"/>
      <w:u w:color="000000"/>
      <w:lang w:val="en-US" w:eastAsia="fr-FR"/>
    </w:rPr>
  </w:style>
  <w:style w:type="paragraph" w:customStyle="1" w:styleId="CorpsAAA">
    <w:name w:val="Corps A A A"/>
    <w:rsid w:val="00C03EC4"/>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fr-FR"/>
    </w:rPr>
  </w:style>
  <w:style w:type="paragraph" w:styleId="Listepuces">
    <w:name w:val="List Bullet"/>
    <w:basedOn w:val="Liste"/>
    <w:autoRedefine/>
    <w:rsid w:val="00C03EC4"/>
    <w:pPr>
      <w:tabs>
        <w:tab w:val="num" w:pos="1931"/>
      </w:tabs>
      <w:spacing w:after="0" w:line="360" w:lineRule="auto"/>
      <w:ind w:left="0" w:firstLine="0"/>
      <w:contextualSpacing w:val="0"/>
      <w:jc w:val="both"/>
    </w:pPr>
    <w:rPr>
      <w:rFonts w:ascii="Arial Narrow" w:hAnsi="Arial Narrow"/>
      <w:bCs/>
    </w:rPr>
  </w:style>
  <w:style w:type="paragraph" w:styleId="En-ttedetabledesmatires">
    <w:name w:val="TOC Heading"/>
    <w:basedOn w:val="Titre1"/>
    <w:next w:val="Normal"/>
    <w:uiPriority w:val="39"/>
    <w:unhideWhenUsed/>
    <w:qFormat/>
    <w:rsid w:val="00C03EC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TM2">
    <w:name w:val="toc 2"/>
    <w:basedOn w:val="Normal"/>
    <w:next w:val="Normal"/>
    <w:autoRedefine/>
    <w:uiPriority w:val="39"/>
    <w:unhideWhenUsed/>
    <w:rsid w:val="00C03EC4"/>
    <w:pPr>
      <w:spacing w:after="100"/>
      <w:ind w:left="220"/>
    </w:pPr>
  </w:style>
  <w:style w:type="paragraph" w:styleId="TM3">
    <w:name w:val="toc 3"/>
    <w:basedOn w:val="Normal"/>
    <w:next w:val="Normal"/>
    <w:autoRedefine/>
    <w:uiPriority w:val="39"/>
    <w:unhideWhenUsed/>
    <w:rsid w:val="00C03EC4"/>
    <w:pPr>
      <w:spacing w:after="100"/>
      <w:ind w:left="440"/>
    </w:pPr>
  </w:style>
  <w:style w:type="paragraph" w:customStyle="1" w:styleId="CorpsAA">
    <w:name w:val="Corps A A"/>
    <w:rsid w:val="00C03EC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ML"/>
    </w:rPr>
  </w:style>
  <w:style w:type="paragraph" w:styleId="Liste">
    <w:name w:val="List"/>
    <w:basedOn w:val="Normal"/>
    <w:uiPriority w:val="99"/>
    <w:semiHidden/>
    <w:unhideWhenUsed/>
    <w:rsid w:val="00C03EC4"/>
    <w:pPr>
      <w:spacing w:after="200" w:line="276" w:lineRule="auto"/>
      <w:ind w:left="283" w:hanging="283"/>
      <w:contextualSpacing/>
    </w:pPr>
    <w:rPr>
      <w:rFonts w:ascii="Calibri" w:eastAsia="Times New Roman" w:hAnsi="Calibri" w:cs="Times New Roman"/>
      <w:lang w:eastAsia="fr-FR"/>
    </w:rPr>
  </w:style>
  <w:style w:type="paragraph" w:customStyle="1" w:styleId="Style1">
    <w:name w:val="Style1"/>
    <w:basedOn w:val="Titre4"/>
    <w:link w:val="Style1Car"/>
    <w:autoRedefine/>
    <w:qFormat/>
    <w:rsid w:val="00C03EC4"/>
    <w:pPr>
      <w:keepNext w:val="0"/>
      <w:keepLines w:val="0"/>
      <w:spacing w:before="0" w:line="240" w:lineRule="auto"/>
      <w:ind w:left="851"/>
      <w:outlineLvl w:val="9"/>
    </w:pPr>
    <w:rPr>
      <w:rFonts w:eastAsia="Calibri" w:cstheme="majorHAnsi"/>
      <w:b/>
      <w:i w:val="0"/>
      <w:sz w:val="100"/>
      <w:szCs w:val="100"/>
    </w:rPr>
  </w:style>
  <w:style w:type="character" w:customStyle="1" w:styleId="Style1Car">
    <w:name w:val="Style1 Car"/>
    <w:basedOn w:val="Titre4Car"/>
    <w:link w:val="Style1"/>
    <w:rsid w:val="00C03EC4"/>
    <w:rPr>
      <w:rFonts w:asciiTheme="majorHAnsi" w:eastAsia="Calibri" w:hAnsiTheme="majorHAnsi" w:cstheme="majorHAnsi"/>
      <w:b/>
      <w:i w:val="0"/>
      <w:iCs/>
      <w:color w:val="2F5496" w:themeColor="accent1" w:themeShade="BF"/>
      <w:sz w:val="100"/>
      <w:szCs w:val="100"/>
      <w:lang w:eastAsia="fr-FR"/>
    </w:rPr>
  </w:style>
  <w:style w:type="table" w:customStyle="1" w:styleId="Grilledutableau1">
    <w:name w:val="Grille du tableau1"/>
    <w:basedOn w:val="TableauNormal"/>
    <w:next w:val="Grilledutableau"/>
    <w:uiPriority w:val="59"/>
    <w:rsid w:val="00C03E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nhideWhenUsed/>
    <w:qFormat/>
    <w:rsid w:val="00C03EC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tyle3import">
    <w:name w:val="Style 3 importé"/>
    <w:rsid w:val="00C03EC4"/>
    <w:pPr>
      <w:numPr>
        <w:numId w:val="7"/>
      </w:numPr>
    </w:pPr>
  </w:style>
  <w:style w:type="paragraph" w:styleId="Rvision">
    <w:name w:val="Revision"/>
    <w:hidden/>
    <w:uiPriority w:val="99"/>
    <w:semiHidden/>
    <w:rsid w:val="00C03EC4"/>
    <w:pPr>
      <w:spacing w:after="0" w:line="240" w:lineRule="auto"/>
    </w:pPr>
    <w:rPr>
      <w:rFonts w:ascii="Calibri" w:eastAsia="Times New Roman" w:hAnsi="Calibri" w:cs="Times New Roman"/>
      <w:lang w:eastAsia="fr-FR"/>
    </w:rPr>
  </w:style>
  <w:style w:type="character" w:customStyle="1" w:styleId="enn">
    <w:name w:val="en_n"/>
    <w:basedOn w:val="Policepardfaut"/>
    <w:rsid w:val="00C03EC4"/>
  </w:style>
  <w:style w:type="character" w:customStyle="1" w:styleId="df">
    <w:name w:val="d_f"/>
    <w:basedOn w:val="Policepardfaut"/>
    <w:rsid w:val="00C03EC4"/>
  </w:style>
  <w:style w:type="character" w:customStyle="1" w:styleId="ge">
    <w:name w:val="g_e"/>
    <w:basedOn w:val="Policepardfaut"/>
    <w:rsid w:val="00C03EC4"/>
  </w:style>
  <w:style w:type="character" w:customStyle="1" w:styleId="ub">
    <w:name w:val="u_b"/>
    <w:basedOn w:val="Policepardfaut"/>
    <w:rsid w:val="00C03EC4"/>
  </w:style>
  <w:style w:type="character" w:customStyle="1" w:styleId="un">
    <w:name w:val="u_n"/>
    <w:basedOn w:val="Policepardfaut"/>
    <w:rsid w:val="00C03EC4"/>
  </w:style>
  <w:style w:type="character" w:customStyle="1" w:styleId="c4z2avtcy">
    <w:name w:val="c4_z2avtcy"/>
    <w:basedOn w:val="Policepardfaut"/>
    <w:rsid w:val="00C03EC4"/>
  </w:style>
  <w:style w:type="paragraph" w:customStyle="1" w:styleId="PardfautB">
    <w:name w:val="Par défaut B"/>
    <w:rsid w:val="00C03EC4"/>
    <w:pPr>
      <w:spacing w:after="0" w:line="240" w:lineRule="auto"/>
    </w:pPr>
    <w:rPr>
      <w:rFonts w:ascii="Helvetica Neue" w:eastAsia="Arial Unicode MS" w:hAnsi="Helvetica Neue" w:cs="Arial Unicode MS"/>
      <w:color w:val="000000"/>
      <w:u w:color="000000"/>
      <w:lang w:eastAsia="fr-FR"/>
    </w:rPr>
  </w:style>
  <w:style w:type="character" w:customStyle="1" w:styleId="Heading11">
    <w:name w:val="Heading #1|1_"/>
    <w:basedOn w:val="Policepardfaut"/>
    <w:link w:val="Heading110"/>
    <w:rsid w:val="00C03EC4"/>
    <w:rPr>
      <w:rFonts w:ascii="Calibri" w:eastAsia="Calibri" w:hAnsi="Calibri" w:cs="Calibri"/>
      <w:b/>
      <w:bCs/>
      <w:sz w:val="28"/>
      <w:szCs w:val="28"/>
      <w:shd w:val="clear" w:color="auto" w:fill="FFFFFF"/>
    </w:rPr>
  </w:style>
  <w:style w:type="character" w:customStyle="1" w:styleId="Heading21">
    <w:name w:val="Heading #2|1_"/>
    <w:basedOn w:val="Policepardfaut"/>
    <w:link w:val="Heading210"/>
    <w:rsid w:val="00C03EC4"/>
    <w:rPr>
      <w:rFonts w:ascii="Arial" w:eastAsia="Arial" w:hAnsi="Arial" w:cs="Arial"/>
      <w:b/>
      <w:bCs/>
      <w:shd w:val="clear" w:color="auto" w:fill="FFFFFF"/>
    </w:rPr>
  </w:style>
  <w:style w:type="paragraph" w:customStyle="1" w:styleId="Heading110">
    <w:name w:val="Heading #1|1"/>
    <w:basedOn w:val="Normal"/>
    <w:link w:val="Heading11"/>
    <w:rsid w:val="00C03EC4"/>
    <w:pPr>
      <w:widowControl w:val="0"/>
      <w:shd w:val="clear" w:color="auto" w:fill="FFFFFF"/>
      <w:spacing w:after="340" w:line="233" w:lineRule="auto"/>
      <w:jc w:val="center"/>
      <w:outlineLvl w:val="0"/>
    </w:pPr>
    <w:rPr>
      <w:rFonts w:ascii="Calibri" w:eastAsia="Calibri" w:hAnsi="Calibri" w:cs="Calibri"/>
      <w:b/>
      <w:bCs/>
      <w:sz w:val="28"/>
      <w:szCs w:val="28"/>
    </w:rPr>
  </w:style>
  <w:style w:type="paragraph" w:customStyle="1" w:styleId="Heading210">
    <w:name w:val="Heading #2|1"/>
    <w:basedOn w:val="Normal"/>
    <w:link w:val="Heading21"/>
    <w:rsid w:val="00C03EC4"/>
    <w:pPr>
      <w:widowControl w:val="0"/>
      <w:shd w:val="clear" w:color="auto" w:fill="FFFFFF"/>
      <w:spacing w:after="340" w:line="240" w:lineRule="auto"/>
      <w:jc w:val="center"/>
      <w:outlineLvl w:val="1"/>
    </w:pPr>
    <w:rPr>
      <w:rFonts w:ascii="Arial" w:eastAsia="Arial" w:hAnsi="Arial" w:cs="Arial"/>
      <w:b/>
      <w:bCs/>
    </w:rPr>
  </w:style>
  <w:style w:type="character" w:customStyle="1" w:styleId="Other1">
    <w:name w:val="Other|1_"/>
    <w:basedOn w:val="Policepardfaut"/>
    <w:link w:val="Other10"/>
    <w:rsid w:val="00C03EC4"/>
    <w:rPr>
      <w:rFonts w:ascii="Calibri" w:eastAsia="Calibri" w:hAnsi="Calibri" w:cs="Calibri"/>
      <w:color w:val="231F20"/>
      <w:shd w:val="clear" w:color="auto" w:fill="FFFFFF"/>
    </w:rPr>
  </w:style>
  <w:style w:type="paragraph" w:customStyle="1" w:styleId="Other10">
    <w:name w:val="Other|1"/>
    <w:basedOn w:val="Normal"/>
    <w:link w:val="Other1"/>
    <w:rsid w:val="00C03EC4"/>
    <w:pPr>
      <w:widowControl w:val="0"/>
      <w:shd w:val="clear" w:color="auto" w:fill="FFFFFF"/>
      <w:spacing w:after="240" w:line="266" w:lineRule="auto"/>
    </w:pPr>
    <w:rPr>
      <w:rFonts w:ascii="Calibri" w:eastAsia="Calibri" w:hAnsi="Calibri" w:cs="Calibri"/>
      <w:color w:val="231F20"/>
    </w:rPr>
  </w:style>
  <w:style w:type="paragraph" w:customStyle="1" w:styleId="CorpsC">
    <w:name w:val="Corps C"/>
    <w:rsid w:val="00C03EC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FR"/>
    </w:rPr>
  </w:style>
  <w:style w:type="character" w:customStyle="1" w:styleId="Headerorfooter2">
    <w:name w:val="Header or footer|2_"/>
    <w:basedOn w:val="Policepardfaut"/>
    <w:link w:val="Headerorfooter20"/>
    <w:rsid w:val="00C03EC4"/>
    <w:rPr>
      <w:sz w:val="20"/>
      <w:szCs w:val="20"/>
      <w:shd w:val="clear" w:color="auto" w:fill="FFFFFF"/>
    </w:rPr>
  </w:style>
  <w:style w:type="character" w:customStyle="1" w:styleId="Headerorfooter1">
    <w:name w:val="Header or footer|1_"/>
    <w:basedOn w:val="Policepardfaut"/>
    <w:link w:val="Headerorfooter10"/>
    <w:rsid w:val="00C03EC4"/>
    <w:rPr>
      <w:color w:val="231F20"/>
      <w:sz w:val="15"/>
      <w:szCs w:val="15"/>
      <w:shd w:val="clear" w:color="auto" w:fill="FFFFFF"/>
    </w:rPr>
  </w:style>
  <w:style w:type="character" w:customStyle="1" w:styleId="Bodytext1">
    <w:name w:val="Body text|1_"/>
    <w:basedOn w:val="Policepardfaut"/>
    <w:link w:val="Bodytext10"/>
    <w:rsid w:val="00C03EC4"/>
    <w:rPr>
      <w:rFonts w:ascii="Calibri" w:eastAsia="Calibri" w:hAnsi="Calibri" w:cs="Calibri"/>
      <w:color w:val="231F20"/>
      <w:shd w:val="clear" w:color="auto" w:fill="FFFFFF"/>
    </w:rPr>
  </w:style>
  <w:style w:type="character" w:customStyle="1" w:styleId="Tableofcontents1">
    <w:name w:val="Table of contents|1_"/>
    <w:basedOn w:val="Policepardfaut"/>
    <w:link w:val="Tableofcontents10"/>
    <w:rsid w:val="00C03EC4"/>
    <w:rPr>
      <w:rFonts w:ascii="Calibri" w:eastAsia="Calibri" w:hAnsi="Calibri" w:cs="Calibri"/>
      <w:b/>
      <w:bCs/>
      <w:color w:val="231F20"/>
      <w:shd w:val="clear" w:color="auto" w:fill="FFFFFF"/>
    </w:rPr>
  </w:style>
  <w:style w:type="character" w:customStyle="1" w:styleId="Bodytext2">
    <w:name w:val="Body text|2_"/>
    <w:basedOn w:val="Policepardfaut"/>
    <w:link w:val="Bodytext20"/>
    <w:rsid w:val="00C03EC4"/>
    <w:rPr>
      <w:rFonts w:ascii="Arial" w:eastAsia="Arial" w:hAnsi="Arial" w:cs="Arial"/>
      <w:color w:val="231F20"/>
      <w:sz w:val="19"/>
      <w:szCs w:val="19"/>
      <w:shd w:val="clear" w:color="auto" w:fill="FFFFFF"/>
    </w:rPr>
  </w:style>
  <w:style w:type="character" w:customStyle="1" w:styleId="Heading41">
    <w:name w:val="Heading #4|1_"/>
    <w:basedOn w:val="Policepardfaut"/>
    <w:link w:val="Heading410"/>
    <w:rsid w:val="00C03EC4"/>
    <w:rPr>
      <w:rFonts w:ascii="Calibri" w:eastAsia="Calibri" w:hAnsi="Calibri" w:cs="Calibri"/>
      <w:b/>
      <w:bCs/>
      <w:color w:val="231F20"/>
      <w:shd w:val="clear" w:color="auto" w:fill="FFFFFF"/>
    </w:rPr>
  </w:style>
  <w:style w:type="character" w:customStyle="1" w:styleId="Bodytext3">
    <w:name w:val="Body text|3_"/>
    <w:basedOn w:val="Policepardfaut"/>
    <w:link w:val="Bodytext30"/>
    <w:rsid w:val="00C03EC4"/>
    <w:rPr>
      <w:rFonts w:ascii="Calibri" w:eastAsia="Calibri" w:hAnsi="Calibri" w:cs="Calibri"/>
      <w:color w:val="231F20"/>
      <w:sz w:val="20"/>
      <w:szCs w:val="20"/>
      <w:shd w:val="clear" w:color="auto" w:fill="FFFFFF"/>
    </w:rPr>
  </w:style>
  <w:style w:type="character" w:customStyle="1" w:styleId="Picturecaption1">
    <w:name w:val="Picture caption|1_"/>
    <w:basedOn w:val="Policepardfaut"/>
    <w:link w:val="Picturecaption10"/>
    <w:rsid w:val="00C03EC4"/>
    <w:rPr>
      <w:rFonts w:ascii="Cambria" w:eastAsia="Cambria" w:hAnsi="Cambria" w:cs="Cambria"/>
      <w:b/>
      <w:bCs/>
      <w:color w:val="EBEBEB"/>
      <w:sz w:val="32"/>
      <w:szCs w:val="32"/>
      <w:shd w:val="clear" w:color="auto" w:fill="FFFFFF"/>
    </w:rPr>
  </w:style>
  <w:style w:type="character" w:customStyle="1" w:styleId="Bodytext4">
    <w:name w:val="Body text|4_"/>
    <w:basedOn w:val="Policepardfaut"/>
    <w:link w:val="Bodytext40"/>
    <w:rsid w:val="00C03EC4"/>
    <w:rPr>
      <w:rFonts w:ascii="Cambria" w:eastAsia="Cambria" w:hAnsi="Cambria" w:cs="Cambria"/>
      <w:b/>
      <w:bCs/>
      <w:color w:val="0066B3"/>
      <w:shd w:val="clear" w:color="auto" w:fill="FFFFFF"/>
    </w:rPr>
  </w:style>
  <w:style w:type="character" w:customStyle="1" w:styleId="Heading31">
    <w:name w:val="Heading #3|1_"/>
    <w:basedOn w:val="Policepardfaut"/>
    <w:link w:val="Heading310"/>
    <w:rsid w:val="00C03EC4"/>
    <w:rPr>
      <w:rFonts w:ascii="Cambria" w:eastAsia="Cambria" w:hAnsi="Cambria" w:cs="Cambria"/>
      <w:b/>
      <w:bCs/>
      <w:smallCaps/>
      <w:color w:val="EBEBEB"/>
      <w:sz w:val="30"/>
      <w:szCs w:val="30"/>
      <w:shd w:val="clear" w:color="auto" w:fill="FFFFFF"/>
    </w:rPr>
  </w:style>
  <w:style w:type="character" w:customStyle="1" w:styleId="Tablecaption1">
    <w:name w:val="Table caption|1_"/>
    <w:basedOn w:val="Policepardfaut"/>
    <w:link w:val="Tablecaption10"/>
    <w:rsid w:val="00C03EC4"/>
    <w:rPr>
      <w:rFonts w:ascii="Calibri" w:eastAsia="Calibri" w:hAnsi="Calibri" w:cs="Calibri"/>
      <w:color w:val="231F20"/>
      <w:shd w:val="clear" w:color="auto" w:fill="FFFFFF"/>
    </w:rPr>
  </w:style>
  <w:style w:type="character" w:customStyle="1" w:styleId="Bodytext5">
    <w:name w:val="Body text|5_"/>
    <w:basedOn w:val="Policepardfaut"/>
    <w:link w:val="Bodytext50"/>
    <w:rsid w:val="00C03EC4"/>
    <w:rPr>
      <w:rFonts w:ascii="Arial" w:eastAsia="Arial" w:hAnsi="Arial" w:cs="Arial"/>
      <w:b/>
      <w:bCs/>
      <w:sz w:val="17"/>
      <w:szCs w:val="17"/>
      <w:shd w:val="clear" w:color="auto" w:fill="FFFFFF"/>
    </w:rPr>
  </w:style>
  <w:style w:type="character" w:customStyle="1" w:styleId="Bodytext6">
    <w:name w:val="Body text|6_"/>
    <w:basedOn w:val="Policepardfaut"/>
    <w:link w:val="Bodytext60"/>
    <w:rsid w:val="00C03EC4"/>
    <w:rPr>
      <w:rFonts w:ascii="Arial" w:eastAsia="Arial" w:hAnsi="Arial" w:cs="Arial"/>
      <w:b/>
      <w:bCs/>
      <w:sz w:val="14"/>
      <w:szCs w:val="14"/>
      <w:shd w:val="clear" w:color="auto" w:fill="FFFFFF"/>
    </w:rPr>
  </w:style>
  <w:style w:type="character" w:customStyle="1" w:styleId="Bodytext7">
    <w:name w:val="Body text|7_"/>
    <w:basedOn w:val="Policepardfaut"/>
    <w:link w:val="Bodytext70"/>
    <w:rsid w:val="00C03EC4"/>
    <w:rPr>
      <w:rFonts w:ascii="Arial" w:eastAsia="Arial" w:hAnsi="Arial" w:cs="Arial"/>
      <w:b/>
      <w:bCs/>
      <w:color w:val="231F20"/>
      <w:sz w:val="11"/>
      <w:szCs w:val="11"/>
      <w:shd w:val="clear" w:color="auto" w:fill="FFFFFF"/>
    </w:rPr>
  </w:style>
  <w:style w:type="paragraph" w:customStyle="1" w:styleId="Headerorfooter20">
    <w:name w:val="Header or footer|2"/>
    <w:basedOn w:val="Normal"/>
    <w:link w:val="Headerorfooter2"/>
    <w:rsid w:val="00C03EC4"/>
    <w:pPr>
      <w:widowControl w:val="0"/>
      <w:shd w:val="clear" w:color="auto" w:fill="FFFFFF"/>
      <w:spacing w:after="0" w:line="240" w:lineRule="auto"/>
    </w:pPr>
    <w:rPr>
      <w:sz w:val="20"/>
      <w:szCs w:val="20"/>
    </w:rPr>
  </w:style>
  <w:style w:type="paragraph" w:customStyle="1" w:styleId="Headerorfooter10">
    <w:name w:val="Header or footer|1"/>
    <w:basedOn w:val="Normal"/>
    <w:link w:val="Headerorfooter1"/>
    <w:rsid w:val="00C03EC4"/>
    <w:pPr>
      <w:widowControl w:val="0"/>
      <w:shd w:val="clear" w:color="auto" w:fill="FFFFFF"/>
      <w:spacing w:after="0" w:line="240" w:lineRule="auto"/>
    </w:pPr>
    <w:rPr>
      <w:color w:val="231F20"/>
      <w:sz w:val="15"/>
      <w:szCs w:val="15"/>
    </w:rPr>
  </w:style>
  <w:style w:type="paragraph" w:customStyle="1" w:styleId="Bodytext10">
    <w:name w:val="Body text|1"/>
    <w:basedOn w:val="Normal"/>
    <w:link w:val="Bodytext1"/>
    <w:rsid w:val="00C03EC4"/>
    <w:pPr>
      <w:widowControl w:val="0"/>
      <w:shd w:val="clear" w:color="auto" w:fill="FFFFFF"/>
      <w:spacing w:after="240" w:line="266" w:lineRule="auto"/>
    </w:pPr>
    <w:rPr>
      <w:rFonts w:ascii="Calibri" w:eastAsia="Calibri" w:hAnsi="Calibri" w:cs="Calibri"/>
      <w:color w:val="231F20"/>
    </w:rPr>
  </w:style>
  <w:style w:type="paragraph" w:customStyle="1" w:styleId="Tableofcontents10">
    <w:name w:val="Table of contents|1"/>
    <w:basedOn w:val="Normal"/>
    <w:link w:val="Tableofcontents1"/>
    <w:rsid w:val="00C03EC4"/>
    <w:pPr>
      <w:widowControl w:val="0"/>
      <w:shd w:val="clear" w:color="auto" w:fill="FFFFFF"/>
      <w:spacing w:after="180" w:line="240" w:lineRule="auto"/>
      <w:ind w:left="680"/>
    </w:pPr>
    <w:rPr>
      <w:rFonts w:ascii="Calibri" w:eastAsia="Calibri" w:hAnsi="Calibri" w:cs="Calibri"/>
      <w:b/>
      <w:bCs/>
      <w:color w:val="231F20"/>
    </w:rPr>
  </w:style>
  <w:style w:type="paragraph" w:customStyle="1" w:styleId="Bodytext20">
    <w:name w:val="Body text|2"/>
    <w:basedOn w:val="Normal"/>
    <w:link w:val="Bodytext2"/>
    <w:rsid w:val="00C03EC4"/>
    <w:pPr>
      <w:widowControl w:val="0"/>
      <w:shd w:val="clear" w:color="auto" w:fill="FFFFFF"/>
      <w:spacing w:after="0" w:line="257" w:lineRule="auto"/>
    </w:pPr>
    <w:rPr>
      <w:rFonts w:ascii="Arial" w:eastAsia="Arial" w:hAnsi="Arial" w:cs="Arial"/>
      <w:color w:val="231F20"/>
      <w:sz w:val="19"/>
      <w:szCs w:val="19"/>
    </w:rPr>
  </w:style>
  <w:style w:type="paragraph" w:customStyle="1" w:styleId="Heading410">
    <w:name w:val="Heading #4|1"/>
    <w:basedOn w:val="Normal"/>
    <w:link w:val="Heading41"/>
    <w:rsid w:val="00C03EC4"/>
    <w:pPr>
      <w:widowControl w:val="0"/>
      <w:shd w:val="clear" w:color="auto" w:fill="FFFFFF"/>
      <w:spacing w:after="0" w:line="266" w:lineRule="auto"/>
      <w:outlineLvl w:val="3"/>
    </w:pPr>
    <w:rPr>
      <w:rFonts w:ascii="Calibri" w:eastAsia="Calibri" w:hAnsi="Calibri" w:cs="Calibri"/>
      <w:b/>
      <w:bCs/>
      <w:color w:val="231F20"/>
    </w:rPr>
  </w:style>
  <w:style w:type="paragraph" w:customStyle="1" w:styleId="Bodytext30">
    <w:name w:val="Body text|3"/>
    <w:basedOn w:val="Normal"/>
    <w:link w:val="Bodytext3"/>
    <w:rsid w:val="00C03EC4"/>
    <w:pPr>
      <w:widowControl w:val="0"/>
      <w:shd w:val="clear" w:color="auto" w:fill="FFFFFF"/>
      <w:spacing w:after="220" w:line="240" w:lineRule="auto"/>
    </w:pPr>
    <w:rPr>
      <w:rFonts w:ascii="Calibri" w:eastAsia="Calibri" w:hAnsi="Calibri" w:cs="Calibri"/>
      <w:color w:val="231F20"/>
      <w:sz w:val="20"/>
      <w:szCs w:val="20"/>
    </w:rPr>
  </w:style>
  <w:style w:type="paragraph" w:customStyle="1" w:styleId="Picturecaption10">
    <w:name w:val="Picture caption|1"/>
    <w:basedOn w:val="Normal"/>
    <w:link w:val="Picturecaption1"/>
    <w:rsid w:val="00C03EC4"/>
    <w:pPr>
      <w:widowControl w:val="0"/>
      <w:shd w:val="clear" w:color="auto" w:fill="FFFFFF"/>
      <w:spacing w:after="0" w:line="240" w:lineRule="auto"/>
    </w:pPr>
    <w:rPr>
      <w:rFonts w:ascii="Cambria" w:eastAsia="Cambria" w:hAnsi="Cambria" w:cs="Cambria"/>
      <w:b/>
      <w:bCs/>
      <w:color w:val="EBEBEB"/>
      <w:sz w:val="32"/>
      <w:szCs w:val="32"/>
    </w:rPr>
  </w:style>
  <w:style w:type="paragraph" w:customStyle="1" w:styleId="Bodytext40">
    <w:name w:val="Body text|4"/>
    <w:basedOn w:val="Normal"/>
    <w:link w:val="Bodytext4"/>
    <w:rsid w:val="00C03EC4"/>
    <w:pPr>
      <w:widowControl w:val="0"/>
      <w:shd w:val="clear" w:color="auto" w:fill="FFFFFF"/>
      <w:spacing w:after="320" w:line="283" w:lineRule="auto"/>
      <w:ind w:left="690" w:hanging="380"/>
    </w:pPr>
    <w:rPr>
      <w:rFonts w:ascii="Cambria" w:eastAsia="Cambria" w:hAnsi="Cambria" w:cs="Cambria"/>
      <w:b/>
      <w:bCs/>
      <w:color w:val="0066B3"/>
    </w:rPr>
  </w:style>
  <w:style w:type="paragraph" w:customStyle="1" w:styleId="Heading310">
    <w:name w:val="Heading #3|1"/>
    <w:basedOn w:val="Normal"/>
    <w:link w:val="Heading31"/>
    <w:rsid w:val="00C03EC4"/>
    <w:pPr>
      <w:widowControl w:val="0"/>
      <w:shd w:val="clear" w:color="auto" w:fill="FFFFFF"/>
      <w:spacing w:after="320" w:line="247" w:lineRule="auto"/>
      <w:ind w:left="220" w:hanging="220"/>
      <w:outlineLvl w:val="2"/>
    </w:pPr>
    <w:rPr>
      <w:rFonts w:ascii="Cambria" w:eastAsia="Cambria" w:hAnsi="Cambria" w:cs="Cambria"/>
      <w:b/>
      <w:bCs/>
      <w:smallCaps/>
      <w:color w:val="EBEBEB"/>
      <w:sz w:val="30"/>
      <w:szCs w:val="30"/>
    </w:rPr>
  </w:style>
  <w:style w:type="paragraph" w:customStyle="1" w:styleId="Tablecaption10">
    <w:name w:val="Table caption|1"/>
    <w:basedOn w:val="Normal"/>
    <w:link w:val="Tablecaption1"/>
    <w:rsid w:val="00C03EC4"/>
    <w:pPr>
      <w:widowControl w:val="0"/>
      <w:shd w:val="clear" w:color="auto" w:fill="FFFFFF"/>
      <w:spacing w:after="0" w:line="240" w:lineRule="auto"/>
    </w:pPr>
    <w:rPr>
      <w:rFonts w:ascii="Calibri" w:eastAsia="Calibri" w:hAnsi="Calibri" w:cs="Calibri"/>
      <w:color w:val="231F20"/>
    </w:rPr>
  </w:style>
  <w:style w:type="paragraph" w:customStyle="1" w:styleId="Bodytext50">
    <w:name w:val="Body text|5"/>
    <w:basedOn w:val="Normal"/>
    <w:link w:val="Bodytext5"/>
    <w:rsid w:val="00C03EC4"/>
    <w:pPr>
      <w:widowControl w:val="0"/>
      <w:shd w:val="clear" w:color="auto" w:fill="FFFFFF"/>
      <w:spacing w:after="0" w:line="240" w:lineRule="auto"/>
    </w:pPr>
    <w:rPr>
      <w:rFonts w:ascii="Arial" w:eastAsia="Arial" w:hAnsi="Arial" w:cs="Arial"/>
      <w:b/>
      <w:bCs/>
      <w:sz w:val="17"/>
      <w:szCs w:val="17"/>
    </w:rPr>
  </w:style>
  <w:style w:type="paragraph" w:customStyle="1" w:styleId="Bodytext60">
    <w:name w:val="Body text|6"/>
    <w:basedOn w:val="Normal"/>
    <w:link w:val="Bodytext6"/>
    <w:rsid w:val="00C03EC4"/>
    <w:pPr>
      <w:widowControl w:val="0"/>
      <w:shd w:val="clear" w:color="auto" w:fill="FFFFFF"/>
      <w:spacing w:after="0" w:line="240" w:lineRule="auto"/>
    </w:pPr>
    <w:rPr>
      <w:rFonts w:ascii="Arial" w:eastAsia="Arial" w:hAnsi="Arial" w:cs="Arial"/>
      <w:b/>
      <w:bCs/>
      <w:sz w:val="14"/>
      <w:szCs w:val="14"/>
    </w:rPr>
  </w:style>
  <w:style w:type="paragraph" w:customStyle="1" w:styleId="Bodytext70">
    <w:name w:val="Body text|7"/>
    <w:basedOn w:val="Normal"/>
    <w:link w:val="Bodytext7"/>
    <w:rsid w:val="00C03EC4"/>
    <w:pPr>
      <w:widowControl w:val="0"/>
      <w:shd w:val="clear" w:color="auto" w:fill="FFFFFF"/>
      <w:spacing w:after="0" w:line="240" w:lineRule="auto"/>
    </w:pPr>
    <w:rPr>
      <w:rFonts w:ascii="Arial" w:eastAsia="Arial" w:hAnsi="Arial" w:cs="Arial"/>
      <w:b/>
      <w:bCs/>
      <w:color w:val="231F20"/>
      <w:sz w:val="11"/>
      <w:szCs w:val="11"/>
    </w:rPr>
  </w:style>
  <w:style w:type="paragraph" w:customStyle="1" w:styleId="Pardfaut">
    <w:name w:val="Par défaut"/>
    <w:rsid w:val="00C03EC4"/>
    <w:pPr>
      <w:pBdr>
        <w:top w:val="nil"/>
        <w:left w:val="nil"/>
        <w:bottom w:val="nil"/>
        <w:right w:val="nil"/>
        <w:between w:val="nil"/>
      </w:pBdr>
      <w:shd w:val="clear" w:color="000000" w:fill="auto"/>
      <w:bidi/>
      <w:spacing w:after="0" w:line="240" w:lineRule="auto"/>
    </w:pPr>
    <w:rPr>
      <w:rFonts w:ascii="Helvetica Neue" w:eastAsia="Arial Unicode MS" w:hAnsi="Helvetica Neue" w:cs="Times New Roman"/>
      <w:color w:val="000000"/>
      <w:vertAlign w:val="subscript"/>
      <w:lang w:eastAsia="fr-FR"/>
    </w:rPr>
  </w:style>
  <w:style w:type="paragraph" w:customStyle="1" w:styleId="Styledetableau2">
    <w:name w:val="Style de tableau 2"/>
    <w:rsid w:val="00C03EC4"/>
    <w:pPr>
      <w:pBdr>
        <w:top w:val="nil"/>
        <w:left w:val="nil"/>
        <w:bottom w:val="nil"/>
        <w:right w:val="nil"/>
        <w:between w:val="nil"/>
      </w:pBdr>
      <w:shd w:val="clear" w:color="000000" w:fill="auto"/>
      <w:bidi/>
      <w:spacing w:after="0" w:line="240" w:lineRule="auto"/>
    </w:pPr>
    <w:rPr>
      <w:rFonts w:ascii="Helvetica Neue" w:eastAsia="Helvetica Neue" w:hAnsi="Helvetica Neue" w:cs="Times New Roman"/>
      <w:color w:val="000000"/>
      <w:sz w:val="20"/>
      <w:szCs w:val="20"/>
      <w:vertAlign w:val="subscript"/>
      <w:lang w:eastAsia="fr-FR"/>
    </w:rPr>
  </w:style>
  <w:style w:type="table" w:customStyle="1" w:styleId="PlainTable51">
    <w:name w:val="Plain Table 51"/>
    <w:basedOn w:val="TableauNormal"/>
    <w:uiPriority w:val="45"/>
    <w:rsid w:val="00C03EC4"/>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1">
    <w:name w:val="Plain Table 511"/>
    <w:basedOn w:val="TableauNormal"/>
    <w:uiPriority w:val="45"/>
    <w:rsid w:val="00C03EC4"/>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TableauNormal"/>
    <w:uiPriority w:val="46"/>
    <w:rsid w:val="00C03EC4"/>
    <w:pPr>
      <w:spacing w:after="0" w:line="240" w:lineRule="auto"/>
    </w:pPr>
    <w:rPr>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auGrille1Clair-Accentuation21">
    <w:name w:val="Tableau Grille 1 Clair - Accentuation 21"/>
    <w:basedOn w:val="TableauNormal"/>
    <w:uiPriority w:val="46"/>
    <w:rsid w:val="00C03EC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abledesillustrations">
    <w:name w:val="table of figures"/>
    <w:basedOn w:val="Normal"/>
    <w:next w:val="Normal"/>
    <w:uiPriority w:val="99"/>
    <w:unhideWhenUsed/>
    <w:rsid w:val="00C03EC4"/>
    <w:pPr>
      <w:spacing w:after="0" w:line="240" w:lineRule="auto"/>
    </w:pPr>
    <w:rPr>
      <w:rFonts w:ascii="Calibri" w:eastAsia="Calibri" w:hAnsi="Calibri" w:cs="Times New Roman"/>
    </w:rPr>
  </w:style>
  <w:style w:type="paragraph" w:customStyle="1" w:styleId="BodyText">
    <w:name w:val="Body_Text"/>
    <w:basedOn w:val="Normal"/>
    <w:link w:val="BodyTextChar"/>
    <w:qFormat/>
    <w:rsid w:val="00C03EC4"/>
    <w:pPr>
      <w:spacing w:before="120" w:after="120" w:line="288" w:lineRule="auto"/>
      <w:jc w:val="both"/>
    </w:pPr>
    <w:rPr>
      <w:rFonts w:ascii="Tahoma" w:hAnsi="Tahoma" w:cs="Arial"/>
      <w:sz w:val="20"/>
      <w:lang w:eastAsia="de-DE"/>
    </w:rPr>
  </w:style>
  <w:style w:type="character" w:customStyle="1" w:styleId="BodyTextChar">
    <w:name w:val="Body_Text Char"/>
    <w:basedOn w:val="Policepardfaut"/>
    <w:link w:val="BodyText"/>
    <w:rsid w:val="00C03EC4"/>
    <w:rPr>
      <w:rFonts w:ascii="Tahoma" w:hAnsi="Tahoma" w:cs="Arial"/>
      <w:sz w:val="20"/>
      <w:lang w:eastAsia="de-DE"/>
    </w:rPr>
  </w:style>
  <w:style w:type="paragraph" w:customStyle="1" w:styleId="CorpsB">
    <w:name w:val="Corps B"/>
    <w:rsid w:val="00C03EC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fr-FR"/>
    </w:rPr>
  </w:style>
  <w:style w:type="numbering" w:customStyle="1" w:styleId="Nombres">
    <w:name w:val="Nombres"/>
    <w:rsid w:val="00C03EC4"/>
    <w:pPr>
      <w:numPr>
        <w:numId w:val="11"/>
      </w:numPr>
    </w:pPr>
  </w:style>
  <w:style w:type="paragraph" w:customStyle="1" w:styleId="CorpsBA">
    <w:name w:val="Corps B A"/>
    <w:rsid w:val="00C03EC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FR"/>
    </w:rPr>
  </w:style>
  <w:style w:type="paragraph" w:customStyle="1" w:styleId="Corps">
    <w:name w:val="Corps"/>
    <w:rsid w:val="00C03EC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fr-FR"/>
    </w:rPr>
  </w:style>
  <w:style w:type="paragraph" w:customStyle="1" w:styleId="PardfautA">
    <w:name w:val="Par défaut A"/>
    <w:rsid w:val="00C03EC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FR"/>
    </w:rPr>
  </w:style>
  <w:style w:type="numbering" w:customStyle="1" w:styleId="Puces">
    <w:name w:val="Puces"/>
    <w:rsid w:val="00C03EC4"/>
    <w:pPr>
      <w:numPr>
        <w:numId w:val="12"/>
      </w:numPr>
    </w:pPr>
  </w:style>
  <w:style w:type="table" w:customStyle="1" w:styleId="TableauGrille1Clair-Accentuation22">
    <w:name w:val="Tableau Grille 1 Clair - Accentuation 22"/>
    <w:basedOn w:val="TableauNormal"/>
    <w:uiPriority w:val="46"/>
    <w:rsid w:val="00C03EC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extebrut">
    <w:name w:val="Plain Text"/>
    <w:basedOn w:val="Normal"/>
    <w:link w:val="TextebrutCar1"/>
    <w:uiPriority w:val="99"/>
    <w:unhideWhenUsed/>
    <w:rsid w:val="00C03EC4"/>
    <w:pPr>
      <w:spacing w:after="0" w:line="240" w:lineRule="auto"/>
    </w:pPr>
    <w:rPr>
      <w:rFonts w:ascii="Courier New" w:eastAsiaTheme="minorEastAsia" w:hAnsi="Courier New" w:cs="Courier New"/>
      <w:lang w:eastAsia="fr-FR"/>
    </w:rPr>
  </w:style>
  <w:style w:type="character" w:customStyle="1" w:styleId="TextebrutCar">
    <w:name w:val="Texte brut Car"/>
    <w:basedOn w:val="Policepardfaut"/>
    <w:uiPriority w:val="99"/>
    <w:semiHidden/>
    <w:rsid w:val="00C03EC4"/>
    <w:rPr>
      <w:rFonts w:ascii="Consolas" w:hAnsi="Consolas"/>
      <w:sz w:val="21"/>
      <w:szCs w:val="21"/>
    </w:rPr>
  </w:style>
  <w:style w:type="character" w:customStyle="1" w:styleId="TextebrutCar1">
    <w:name w:val="Texte brut Car1"/>
    <w:basedOn w:val="Policepardfaut"/>
    <w:link w:val="Textebrut"/>
    <w:uiPriority w:val="99"/>
    <w:locked/>
    <w:rsid w:val="00C03EC4"/>
    <w:rPr>
      <w:rFonts w:ascii="Courier New" w:eastAsiaTheme="minorEastAsia" w:hAnsi="Courier New" w:cs="Courier New"/>
      <w:lang w:eastAsia="fr-FR"/>
    </w:rPr>
  </w:style>
  <w:style w:type="paragraph" w:styleId="Notedefin">
    <w:name w:val="endnote text"/>
    <w:basedOn w:val="Normal"/>
    <w:link w:val="NotedefinCar"/>
    <w:uiPriority w:val="99"/>
    <w:semiHidden/>
    <w:unhideWhenUsed/>
    <w:rsid w:val="00C03EC4"/>
    <w:pPr>
      <w:spacing w:after="0" w:line="240" w:lineRule="auto"/>
    </w:pPr>
    <w:rPr>
      <w:sz w:val="20"/>
      <w:szCs w:val="20"/>
    </w:rPr>
  </w:style>
  <w:style w:type="character" w:customStyle="1" w:styleId="NotedefinCar">
    <w:name w:val="Note de fin Car"/>
    <w:basedOn w:val="Policepardfaut"/>
    <w:link w:val="Notedefin"/>
    <w:uiPriority w:val="99"/>
    <w:semiHidden/>
    <w:rsid w:val="00C03EC4"/>
    <w:rPr>
      <w:sz w:val="20"/>
      <w:szCs w:val="20"/>
    </w:rPr>
  </w:style>
  <w:style w:type="character" w:styleId="Appeldenotedefin">
    <w:name w:val="endnote reference"/>
    <w:basedOn w:val="Policepardfaut"/>
    <w:uiPriority w:val="99"/>
    <w:semiHidden/>
    <w:unhideWhenUsed/>
    <w:rsid w:val="00C03EC4"/>
    <w:rPr>
      <w:vertAlign w:val="superscript"/>
    </w:rPr>
  </w:style>
  <w:style w:type="numbering" w:customStyle="1" w:styleId="Style3">
    <w:name w:val="Style3"/>
    <w:uiPriority w:val="99"/>
    <w:rsid w:val="00C03EC4"/>
    <w:pPr>
      <w:numPr>
        <w:numId w:val="13"/>
      </w:numPr>
    </w:pPr>
  </w:style>
  <w:style w:type="character" w:customStyle="1" w:styleId="pg-1ff1">
    <w:name w:val="pg-1ff1"/>
    <w:basedOn w:val="Policepardfaut"/>
    <w:rsid w:val="00C03EC4"/>
  </w:style>
  <w:style w:type="table" w:customStyle="1" w:styleId="Tableausimple21">
    <w:name w:val="Tableau simple 21"/>
    <w:basedOn w:val="TableauNormal"/>
    <w:uiPriority w:val="42"/>
    <w:rsid w:val="00C03EC4"/>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lqj4b">
    <w:name w:val="jlqj4b"/>
    <w:basedOn w:val="Policepardfaut"/>
    <w:rsid w:val="00C03EC4"/>
  </w:style>
  <w:style w:type="character" w:styleId="Numrodepage">
    <w:name w:val="page number"/>
    <w:basedOn w:val="Policepardfaut"/>
    <w:uiPriority w:val="99"/>
    <w:semiHidden/>
    <w:unhideWhenUsed/>
    <w:rsid w:val="00C03EC4"/>
  </w:style>
  <w:style w:type="paragraph" w:customStyle="1" w:styleId="1908B561879E4FA493D43F06B79E341D">
    <w:name w:val="1908B561879E4FA493D43F06B79E341D"/>
    <w:rsid w:val="00C03EC4"/>
    <w:pPr>
      <w:spacing w:after="200" w:line="276" w:lineRule="auto"/>
    </w:pPr>
    <w:rPr>
      <w:rFonts w:eastAsiaTheme="minorEastAsia"/>
      <w:lang w:eastAsia="fr-FR"/>
    </w:rPr>
  </w:style>
  <w:style w:type="table" w:styleId="Grillecouleur-Accent5">
    <w:name w:val="Colorful Grid Accent 5"/>
    <w:basedOn w:val="TableauNormal"/>
    <w:uiPriority w:val="73"/>
    <w:rsid w:val="00C03E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stecouleur-Accent1">
    <w:name w:val="Colorful List Accent 1"/>
    <w:basedOn w:val="Tableauliste1"/>
    <w:uiPriority w:val="72"/>
    <w:rsid w:val="00C03EC4"/>
    <w:pPr>
      <w:spacing w:after="0" w:line="240" w:lineRule="auto"/>
    </w:pPr>
    <w:rPr>
      <w:color w:val="000000" w:themeColor="text1"/>
      <w:sz w:val="20"/>
      <w:szCs w:val="20"/>
      <w:lang w:eastAsia="fr-FR"/>
    </w:rPr>
    <w:tblPr>
      <w:tblStyleColBandSize w:val="1"/>
    </w:tblPr>
    <w:tcPr>
      <w:shd w:val="clear" w:color="auto" w:fill="ECF1F9" w:themeFill="accent1" w:themeFillTint="19"/>
      <w:vAlign w:val="center"/>
    </w:tcPr>
    <w:tblStylePr w:type="firstRow">
      <w:rPr>
        <w:b/>
        <w:bCs/>
        <w:i/>
        <w:iCs/>
        <w:color w:val="FFFFFF" w:themeColor="background1"/>
      </w:rPr>
      <w:tblPr/>
      <w:tcPr>
        <w:tcBorders>
          <w:bottom w:val="single" w:sz="12" w:space="0" w:color="FFFFFF" w:themeColor="background1"/>
          <w:tl2br w:val="none" w:sz="0" w:space="0" w:color="auto"/>
          <w:tr2bl w:val="none" w:sz="0" w:space="0" w:color="auto"/>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l2br w:val="none" w:sz="0" w:space="0" w:color="auto"/>
          <w:tr2bl w:val="none" w:sz="0" w:space="0" w:color="auto"/>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rPr>
        <w:color w:val="auto"/>
      </w:rPr>
      <w:tblPr/>
      <w:tcPr>
        <w:tcBorders>
          <w:tl2br w:val="none" w:sz="0" w:space="0" w:color="auto"/>
          <w:tr2bl w:val="none" w:sz="0" w:space="0" w:color="auto"/>
        </w:tcBorders>
        <w:shd w:val="clear" w:color="auto" w:fill="D9E2F3" w:themeFill="accent1" w:themeFillTint="33"/>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ramemoyenne2-Accent1">
    <w:name w:val="Medium Shading 2 Accent 1"/>
    <w:basedOn w:val="TableauNormal"/>
    <w:uiPriority w:val="64"/>
    <w:rsid w:val="00C03E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Grillemoyenne3-Accent2"/>
    <w:uiPriority w:val="69"/>
    <w:rsid w:val="00C03EC4"/>
    <w:pPr>
      <w:jc w:val="center"/>
    </w:pPr>
    <w:tblPr/>
    <w:tcPr>
      <w:shd w:val="clear" w:color="auto" w:fill="D0DBF0" w:themeFill="accent1" w:themeFillTint="3F"/>
      <w:vAlign w:val="center"/>
    </w:tcPr>
    <w:tblStylePr w:type="firstRow">
      <w:rPr>
        <w:b/>
        <w:bCs/>
        <w:i w:val="0"/>
        <w:iCs w:val="0"/>
        <w:color w:val="FFFFFF" w:themeColor="background1"/>
      </w:rPr>
      <w:tblPr/>
      <w:tcPr>
        <w:tcBorders>
          <w:top w:val="nil"/>
          <w:left w:val="single" w:sz="8" w:space="0" w:color="FFFFFF" w:themeColor="background1"/>
          <w:bottom w:val="single" w:sz="6" w:space="0" w:color="008000"/>
          <w:right w:val="single" w:sz="8" w:space="0" w:color="FFFFFF" w:themeColor="background1"/>
          <w:insideH w:val="nil"/>
          <w:insideV w:val="single" w:sz="8" w:space="0" w:color="FFFFFF" w:themeColor="background1"/>
          <w:tl2br w:val="none" w:sz="0" w:space="0" w:color="auto"/>
          <w:tr2bl w:val="none" w:sz="0"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one" w:sz="0" w:space="0" w:color="auto"/>
          <w:tr2bl w:val="none" w:sz="0" w:space="0" w:color="auto"/>
        </w:tcBorders>
        <w:shd w:val="clear" w:color="auto" w:fill="4472C4" w:themeFill="accent1"/>
      </w:tcPr>
    </w:tblStylePr>
    <w:tblStylePr w:type="firstCol">
      <w:pPr>
        <w:jc w:val="left"/>
      </w:pPr>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steclaire">
    <w:name w:val="Light List"/>
    <w:basedOn w:val="TableauNormal"/>
    <w:uiPriority w:val="61"/>
    <w:rsid w:val="00C03E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moyenne1-Accent5">
    <w:name w:val="Medium List 1 Accent 5"/>
    <w:basedOn w:val="TableauNormal"/>
    <w:uiPriority w:val="65"/>
    <w:rsid w:val="00C03EC4"/>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efonce-Accent1">
    <w:name w:val="Dark List Accent 1"/>
    <w:basedOn w:val="TableauNormal"/>
    <w:uiPriority w:val="70"/>
    <w:rsid w:val="00C03EC4"/>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stecouleur-Accent5">
    <w:name w:val="Colorful List Accent 5"/>
    <w:basedOn w:val="Effetsdetableau3D3"/>
    <w:uiPriority w:val="72"/>
    <w:rsid w:val="00C03EC4"/>
    <w:pPr>
      <w:spacing w:after="0" w:line="240" w:lineRule="auto"/>
    </w:pPr>
    <w:rPr>
      <w:color w:val="000000" w:themeColor="text1"/>
      <w:sz w:val="20"/>
      <w:szCs w:val="20"/>
      <w:lang w:eastAsia="fr-FR"/>
    </w:rPr>
    <w:tblPr/>
    <w:tcPr>
      <w:shd w:val="clear" w:color="auto" w:fill="EEF5FB" w:themeFill="accent5" w:themeFillTint="19"/>
      <w:vAlign w:val="center"/>
    </w:tcPr>
    <w:tblStylePr w:type="firstRow">
      <w:rPr>
        <w:b/>
        <w:bCs/>
        <w:color w:val="FFFFFF" w:themeColor="background1"/>
      </w:rPr>
      <w:tblPr/>
      <w:tcPr>
        <w:tcBorders>
          <w:bottom w:val="single" w:sz="12" w:space="0" w:color="FFFFFF" w:themeColor="background1"/>
          <w:tl2br w:val="none" w:sz="0" w:space="0" w:color="auto"/>
          <w:tr2bl w:val="none" w:sz="0" w:space="0" w:color="auto"/>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l2br w:val="none" w:sz="0" w:space="0" w:color="auto"/>
          <w:tr2bl w:val="none" w:sz="0" w:space="0" w:color="auto"/>
        </w:tcBorders>
        <w:shd w:val="clear" w:color="auto" w:fill="FFFFFF" w:themeFill="background1"/>
      </w:tcPr>
    </w:tblStylePr>
    <w:tblStylePr w:type="firstCol">
      <w:rPr>
        <w:b/>
        <w:bCs/>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b/>
        <w:bCs/>
      </w:rPr>
      <w:tblPr/>
      <w:tcPr>
        <w:tcBorders>
          <w:right w:val="single" w:sz="6" w:space="0" w:color="FFFFFF"/>
          <w:tl2br w:val="none" w:sz="0" w:space="0" w:color="auto"/>
          <w:tr2bl w:val="none" w:sz="0" w:space="0" w:color="auto"/>
        </w:tcBorders>
      </w:tcPr>
    </w:tblStylePr>
    <w:tblStylePr w:type="band1Vert">
      <w:rPr>
        <w:color w:val="auto"/>
      </w:rPr>
      <w:tblPr/>
      <w:tcPr>
        <w:tcBorders>
          <w:top w:val="nil"/>
          <w:left w:val="nil"/>
          <w:bottom w:val="nil"/>
          <w:right w:val="nil"/>
          <w:insideH w:val="nil"/>
          <w:insideV w:val="nil"/>
        </w:tcBorders>
        <w:shd w:val="clear" w:color="auto" w:fill="D6E6F4" w:themeFill="accent5" w:themeFillTint="3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shd w:val="clear" w:color="auto" w:fill="DEEAF6" w:themeFill="accent5" w:themeFillTint="33"/>
      </w:tcPr>
    </w:tblStylePr>
    <w:tblStylePr w:type="nwCell">
      <w:tblPr/>
      <w:tcPr>
        <w:tcBorders>
          <w:tl2br w:val="single" w:sz="6" w:space="0" w:color="000000"/>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4">
    <w:name w:val="Style4"/>
    <w:basedOn w:val="Tableaucontemporain"/>
    <w:uiPriority w:val="99"/>
    <w:rsid w:val="00C03EC4"/>
    <w:pPr>
      <w:spacing w:after="0" w:line="240" w:lineRule="auto"/>
    </w:pPr>
    <w:tblPr/>
    <w:tcPr>
      <w:shd w:val="clear" w:color="auto" w:fill="4472C4" w:themeFill="accent1"/>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ouleur">
    <w:name w:val="Colorful List"/>
    <w:basedOn w:val="Tableauliste6"/>
    <w:uiPriority w:val="72"/>
    <w:rsid w:val="00C03EC4"/>
    <w:pPr>
      <w:spacing w:after="0" w:line="240" w:lineRule="auto"/>
    </w:pPr>
    <w:rPr>
      <w:color w:val="000000" w:themeColor="text1"/>
      <w:sz w:val="20"/>
      <w:szCs w:val="20"/>
      <w:lang w:eastAsia="fr-FR"/>
    </w:rPr>
    <w:tblPr>
      <w:tblStyleColBandSize w:val="1"/>
    </w:tblPr>
    <w:tcPr>
      <w:shd w:val="clear" w:color="auto" w:fill="E6E6E6" w:themeFill="text1" w:themeFillTint="19"/>
      <w:vAlign w:val="center"/>
    </w:tcPr>
    <w:tblStylePr w:type="firstRow">
      <w:rPr>
        <w:b/>
        <w:bCs/>
        <w:color w:val="auto"/>
      </w:rPr>
      <w:tblPr/>
      <w:tcPr>
        <w:tcBorders>
          <w:bottom w:val="single" w:sz="12" w:space="0" w:color="FFFFFF" w:themeColor="background1"/>
          <w:tl2br w:val="none" w:sz="0" w:space="0" w:color="auto"/>
          <w:tr2bl w:val="none" w:sz="0" w:space="0" w:color="auto"/>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tcBorders>
          <w:tl2br w:val="none" w:sz="0" w:space="0" w:color="auto"/>
          <w:tr2bl w:val="none" w:sz="0" w:space="0" w:color="auto"/>
        </w:tcBorders>
        <w:shd w:val="clear" w:color="auto" w:fill="CCCCCC" w:themeFill="text1" w:themeFillTint="33"/>
      </w:tcPr>
    </w:tblStylePr>
  </w:style>
  <w:style w:type="table" w:styleId="Tableauliste1">
    <w:name w:val="Table List 1"/>
    <w:basedOn w:val="TableauNormal"/>
    <w:uiPriority w:val="99"/>
    <w:semiHidden/>
    <w:unhideWhenUsed/>
    <w:rsid w:val="00C03EC4"/>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ntemporain">
    <w:name w:val="Table Contemporary"/>
    <w:basedOn w:val="TableauNormal"/>
    <w:uiPriority w:val="99"/>
    <w:semiHidden/>
    <w:unhideWhenUsed/>
    <w:rsid w:val="00C03EC4"/>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5">
    <w:name w:val="Style5"/>
    <w:basedOn w:val="TableauNormal"/>
    <w:uiPriority w:val="99"/>
    <w:rsid w:val="00C03EC4"/>
    <w:pPr>
      <w:spacing w:after="0" w:line="240" w:lineRule="auto"/>
    </w:pPr>
    <w:tblPr/>
  </w:style>
  <w:style w:type="table" w:styleId="Listecouleur-Accent3">
    <w:name w:val="Colorful List Accent 3"/>
    <w:basedOn w:val="TableauNormal"/>
    <w:uiPriority w:val="72"/>
    <w:rsid w:val="00C03EC4"/>
    <w:pPr>
      <w:spacing w:after="0" w:line="240" w:lineRule="auto"/>
    </w:pPr>
    <w:rPr>
      <w:color w:val="000000" w:themeColor="text1"/>
    </w:rPr>
    <w:tblPr>
      <w:tblStyleRowBandSize w:val="1"/>
      <w:tblStyleColBandSize w:val="1"/>
    </w:tblPr>
    <w:tcPr>
      <w:shd w:val="clear" w:color="auto" w:fill="F6F6F6" w:themeFill="accent3" w:themeFillTint="19"/>
      <w:vAlign w:val="center"/>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Grillemoyenne2-Accent3">
    <w:name w:val="Medium Grid 2 Accent 3"/>
    <w:basedOn w:val="TableauNormal"/>
    <w:uiPriority w:val="68"/>
    <w:rsid w:val="00C03E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rillemoyenne1-Accent1">
    <w:name w:val="Medium Grid 1 Accent 1"/>
    <w:basedOn w:val="TableauNormal"/>
    <w:uiPriority w:val="67"/>
    <w:rsid w:val="00C03EC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Grillecouleur-Accent1">
    <w:name w:val="Colorful Grid Accent 1"/>
    <w:basedOn w:val="TableauNormal"/>
    <w:uiPriority w:val="73"/>
    <w:rsid w:val="00C03E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Tramecouleur-Accent4">
    <w:name w:val="Colorful Shading Accent 4"/>
    <w:basedOn w:val="Tableauliste6"/>
    <w:uiPriority w:val="71"/>
    <w:rsid w:val="00C03EC4"/>
    <w:pPr>
      <w:spacing w:after="0" w:line="240" w:lineRule="auto"/>
    </w:pPr>
    <w:rPr>
      <w:color w:val="000000" w:themeColor="text1"/>
      <w:sz w:val="20"/>
      <w:szCs w:val="20"/>
      <w:lang w:eastAsia="fr-FR"/>
    </w:rPr>
    <w:tblPr>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vAlign w:val="center"/>
    </w:tcPr>
    <w:tblStylePr w:type="firstRow">
      <w:rPr>
        <w:b/>
        <w:bCs/>
      </w:rPr>
      <w:tblPr/>
      <w:tcPr>
        <w:tcBorders>
          <w:top w:val="nil"/>
          <w:left w:val="nil"/>
          <w:bottom w:val="single" w:sz="24" w:space="0" w:color="A5A5A5" w:themeColor="accent3"/>
          <w:right w:val="nil"/>
          <w:insideH w:val="nil"/>
          <w:insideV w:val="nil"/>
          <w:tl2br w:val="none" w:sz="0" w:space="0" w:color="auto"/>
          <w:tr2bl w:val="none" w:sz="0" w:space="0" w:color="auto"/>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b/>
        <w:bCs/>
        <w:color w:val="FFFFFF" w:themeColor="background1"/>
      </w:rPr>
      <w:tblPr/>
      <w:tcPr>
        <w:tcBorders>
          <w:top w:val="nil"/>
          <w:left w:val="nil"/>
          <w:bottom w:val="nil"/>
          <w:right w:val="nil"/>
          <w:insideH w:val="single" w:sz="4" w:space="0" w:color="997300" w:themeColor="accent4" w:themeShade="99"/>
          <w:insideV w:val="nil"/>
          <w:tl2br w:val="none" w:sz="0" w:space="0" w:color="auto"/>
          <w:tr2bl w:val="none" w:sz="0" w:space="0" w:color="auto"/>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tcBorders>
          <w:tl2br w:val="none" w:sz="0" w:space="0" w:color="auto"/>
          <w:tr2bl w:val="none" w:sz="0" w:space="0" w:color="auto"/>
        </w:tcBorders>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Tableaucolor2">
    <w:name w:val="Table Colorful 2"/>
    <w:basedOn w:val="TableauNormal"/>
    <w:uiPriority w:val="99"/>
    <w:semiHidden/>
    <w:unhideWhenUsed/>
    <w:rsid w:val="00C03EC4"/>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Grillemoyenne3-Accent6">
    <w:name w:val="Medium Grid 3 Accent 6"/>
    <w:basedOn w:val="TableauNormal"/>
    <w:uiPriority w:val="69"/>
    <w:rsid w:val="00C03E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Tableauclassique1">
    <w:name w:val="Table Classic 1"/>
    <w:basedOn w:val="TableauNormal"/>
    <w:uiPriority w:val="99"/>
    <w:semiHidden/>
    <w:unhideWhenUsed/>
    <w:rsid w:val="00C03EC4"/>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C03EC4"/>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C03EC4"/>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ecouleur-Accent6">
    <w:name w:val="Colorful List Accent 6"/>
    <w:basedOn w:val="TableauNormal"/>
    <w:uiPriority w:val="72"/>
    <w:rsid w:val="00C03EC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stefonce-Accent6">
    <w:name w:val="Dark List Accent 6"/>
    <w:basedOn w:val="TableauNormal"/>
    <w:uiPriority w:val="70"/>
    <w:rsid w:val="00C03EC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llecouleur-Accent6">
    <w:name w:val="Colorful Grid Accent 6"/>
    <w:basedOn w:val="Tableauprofessionnel"/>
    <w:uiPriority w:val="73"/>
    <w:rsid w:val="00C03EC4"/>
    <w:pPr>
      <w:spacing w:after="0" w:line="240" w:lineRule="auto"/>
    </w:pPr>
    <w:rPr>
      <w:color w:val="000000" w:themeColor="text1"/>
      <w:sz w:val="20"/>
      <w:szCs w:val="20"/>
      <w:lang w:eastAsia="fr-FR"/>
    </w:rPr>
    <w:tblPr>
      <w:tblStyleRowBandSize w:val="1"/>
      <w:tblStyleColBandSize w:val="1"/>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Pr>
    <w:tcPr>
      <w:shd w:val="clear" w:color="auto" w:fill="E2EFD9" w:themeFill="accent6" w:themeFillTint="33"/>
    </w:tcPr>
    <w:tblStylePr w:type="firstRow">
      <w:rPr>
        <w:b/>
        <w:bCs/>
        <w:color w:val="auto"/>
      </w:rPr>
      <w:tblPr/>
      <w:tcPr>
        <w:tcBorders>
          <w:tl2br w:val="none" w:sz="0" w:space="0" w:color="auto"/>
          <w:tr2bl w:val="none" w:sz="0" w:space="0" w:color="auto"/>
        </w:tcBorders>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tblStylePr w:type="swCell">
      <w:pPr>
        <w:jc w:val="left"/>
      </w:pPr>
      <w:tblPr/>
      <w:tcPr>
        <w:vAlign w:val="center"/>
      </w:tcPr>
    </w:tblStylePr>
  </w:style>
  <w:style w:type="table" w:styleId="Grillemoyenne2-Accent1">
    <w:name w:val="Medium Grid 2 Accent 1"/>
    <w:basedOn w:val="TableauNormal"/>
    <w:uiPriority w:val="68"/>
    <w:rsid w:val="00C03E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Trameclaire-Accent6">
    <w:name w:val="Light Shading Accent 6"/>
    <w:basedOn w:val="TableauNormal"/>
    <w:uiPriority w:val="60"/>
    <w:rsid w:val="00C03EC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Trameclaire-Accent5">
    <w:name w:val="Light Shading Accent 5"/>
    <w:basedOn w:val="TableauNormal"/>
    <w:uiPriority w:val="60"/>
    <w:rsid w:val="00C03EC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rameclaire-Accent3">
    <w:name w:val="Light Shading Accent 3"/>
    <w:basedOn w:val="TableauNormal"/>
    <w:uiPriority w:val="60"/>
    <w:rsid w:val="00C03E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Style6">
    <w:name w:val="Style6"/>
    <w:basedOn w:val="Tableauliste5"/>
    <w:uiPriority w:val="99"/>
    <w:rsid w:val="00C03EC4"/>
    <w:pPr>
      <w:spacing w:after="0" w:line="240" w:lineRule="auto"/>
    </w:pP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eclaire-Accent5">
    <w:name w:val="Light List Accent 5"/>
    <w:basedOn w:val="TableauNormal"/>
    <w:uiPriority w:val="61"/>
    <w:rsid w:val="00C03EC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Tableauliste5">
    <w:name w:val="Table List 5"/>
    <w:basedOn w:val="TableauNormal"/>
    <w:uiPriority w:val="99"/>
    <w:semiHidden/>
    <w:unhideWhenUsed/>
    <w:rsid w:val="00C03EC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Grillemoyenne3-Accent2">
    <w:name w:val="Medium Grid 3 Accent 2"/>
    <w:basedOn w:val="TableauNormal"/>
    <w:uiPriority w:val="69"/>
    <w:rsid w:val="00C03E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steclaire-Accent6">
    <w:name w:val="Light List Accent 6"/>
    <w:basedOn w:val="TableauNormal"/>
    <w:uiPriority w:val="61"/>
    <w:rsid w:val="00C03EC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rillemoyenne2-Accent5">
    <w:name w:val="Medium Grid 2 Accent 5"/>
    <w:basedOn w:val="Tableauliste7"/>
    <w:uiPriority w:val="68"/>
    <w:rsid w:val="00C03EC4"/>
    <w:pPr>
      <w:spacing w:after="0" w:line="240" w:lineRule="auto"/>
    </w:pPr>
    <w:rPr>
      <w:rFonts w:asciiTheme="majorHAnsi" w:eastAsiaTheme="majorEastAsia" w:hAnsiTheme="majorHAnsi" w:cstheme="majorBidi"/>
      <w:color w:val="000000" w:themeColor="text1"/>
      <w:sz w:val="20"/>
      <w:szCs w:val="20"/>
      <w:lang w:eastAsia="fr-FR"/>
    </w:rPr>
    <w:tblPr>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tcBorders>
          <w:bottom w:val="single" w:sz="12" w:space="0" w:color="008000"/>
          <w:tl2br w:val="none" w:sz="0" w:space="0" w:color="auto"/>
          <w:tr2bl w:val="none" w:sz="0" w:space="0" w:color="auto"/>
        </w:tcBorders>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l2br w:val="none" w:sz="0" w:space="0" w:color="auto"/>
          <w:tr2bl w:val="none" w:sz="0" w:space="0" w:color="auto"/>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l2br w:val="none" w:sz="0" w:space="0" w:color="auto"/>
          <w:tr2bl w:val="none" w:sz="0" w:space="0" w:color="auto"/>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l2br w:val="none" w:sz="0" w:space="0" w:color="auto"/>
          <w:tr2bl w:val="none" w:sz="0" w:space="0" w:color="auto"/>
        </w:tcBorders>
        <w:shd w:val="clear" w:color="auto" w:fill="DEEAF6" w:themeFill="accent5" w:themeFillTint="33"/>
      </w:tcPr>
    </w:tblStylePr>
    <w:tblStylePr w:type="band1Vert">
      <w:tblPr/>
      <w:tcPr>
        <w:shd w:val="clear" w:color="auto" w:fill="ADCCEA" w:themeFill="accent5" w:themeFillTint="7F"/>
      </w:tcPr>
    </w:tblStylePr>
    <w:tblStylePr w:type="band1Horz">
      <w:rPr>
        <w:color w:val="auto"/>
      </w:rPr>
      <w:tblPr/>
      <w:tcPr>
        <w:tcBorders>
          <w:insideH w:val="single" w:sz="6" w:space="0" w:color="5B9BD5" w:themeColor="accent5"/>
          <w:insideV w:val="single" w:sz="6" w:space="0" w:color="5B9BD5" w:themeColor="accent5"/>
          <w:tl2br w:val="none" w:sz="0" w:space="0" w:color="auto"/>
          <w:tr2bl w:val="none" w:sz="0" w:space="0" w:color="auto"/>
        </w:tcBorders>
        <w:shd w:val="clear" w:color="auto" w:fill="ADCCEA" w:themeFill="accent5" w:themeFillTint="7F"/>
      </w:tcPr>
    </w:tblStylePr>
    <w:tblStylePr w:type="band2Horz">
      <w:tblPr/>
      <w:tcPr>
        <w:tcBorders>
          <w:tl2br w:val="none" w:sz="0" w:space="0" w:color="auto"/>
          <w:tr2bl w:val="none" w:sz="0" w:space="0" w:color="auto"/>
        </w:tcBorders>
        <w:shd w:val="pct25" w:color="FFFF00" w:fill="FFFFFF"/>
      </w:tcPr>
    </w:tblStylePr>
    <w:tblStylePr w:type="nwCell">
      <w:tblPr/>
      <w:tcPr>
        <w:shd w:val="clear" w:color="auto" w:fill="FFFFFF" w:themeFill="background1"/>
      </w:tcPr>
    </w:tblStylePr>
  </w:style>
  <w:style w:type="table" w:styleId="Grillemoyenne3-Accent5">
    <w:name w:val="Medium Grid 3 Accent 5"/>
    <w:basedOn w:val="TableauNormal"/>
    <w:uiPriority w:val="69"/>
    <w:rsid w:val="00C03E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Tableauliste7">
    <w:name w:val="Table List 7"/>
    <w:basedOn w:val="TableauNormal"/>
    <w:uiPriority w:val="99"/>
    <w:semiHidden/>
    <w:unhideWhenUsed/>
    <w:rsid w:val="00C03EC4"/>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Grillemoyenne1-Accent5">
    <w:name w:val="Medium Grid 1 Accent 5"/>
    <w:basedOn w:val="TableauNormal"/>
    <w:uiPriority w:val="67"/>
    <w:rsid w:val="00C03EC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Effetsdetableau3D3">
    <w:name w:val="Table 3D effects 3"/>
    <w:basedOn w:val="TableauNormal"/>
    <w:uiPriority w:val="99"/>
    <w:semiHidden/>
    <w:unhideWhenUsed/>
    <w:rsid w:val="00C03EC4"/>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moyenne1-Accent6">
    <w:name w:val="Medium Grid 1 Accent 6"/>
    <w:basedOn w:val="TableauNormal"/>
    <w:uiPriority w:val="67"/>
    <w:rsid w:val="00C03EC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Tramecouleur-Accent5">
    <w:name w:val="Colorful Shading Accent 5"/>
    <w:basedOn w:val="TableauNormal"/>
    <w:uiPriority w:val="71"/>
    <w:rsid w:val="00C03EC4"/>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03EC4"/>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Tramemoyenne1-Accent1">
    <w:name w:val="Medium Shading 1 Accent 1"/>
    <w:basedOn w:val="TableauNormal"/>
    <w:uiPriority w:val="63"/>
    <w:rsid w:val="00C03EC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Thmedutableau">
    <w:name w:val="Table Theme"/>
    <w:basedOn w:val="TableauNormal"/>
    <w:uiPriority w:val="99"/>
    <w:semiHidden/>
    <w:unhideWhenUsed/>
    <w:rsid w:val="00C03EC4"/>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professionnel">
    <w:name w:val="Table Professional"/>
    <w:basedOn w:val="TableauNormal"/>
    <w:uiPriority w:val="99"/>
    <w:semiHidden/>
    <w:unhideWhenUsed/>
    <w:rsid w:val="00C03EC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yle8">
    <w:name w:val="Style8"/>
    <w:basedOn w:val="Tableaucontemporain"/>
    <w:uiPriority w:val="99"/>
    <w:rsid w:val="00C03EC4"/>
    <w:pPr>
      <w:spacing w:after="0" w:line="240" w:lineRule="auto"/>
    </w:pPr>
    <w:tblPr>
      <w:tblStyleColBandSize w:val="1"/>
    </w:tbl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lastRow">
      <w:tblPr/>
      <w:tcPr>
        <w:shd w:val="clear" w:color="auto" w:fill="FFC000" w:themeFill="accent4"/>
      </w:tcPr>
    </w:tblStylePr>
    <w:tblStylePr w:type="firstCol">
      <w:tblPr/>
      <w:tcPr>
        <w:shd w:val="clear" w:color="auto" w:fill="BFBFBF" w:themeFill="background1" w:themeFillShade="BF"/>
      </w:tcPr>
    </w:tblStylePr>
    <w:tblStylePr w:type="lastCol">
      <w:tblPr/>
      <w:tcPr>
        <w:shd w:val="clear" w:color="auto" w:fill="D9E2F3" w:themeFill="accent1" w:themeFillTint="33"/>
      </w:tcPr>
    </w:tblStylePr>
    <w:tblStylePr w:type="band1Vert">
      <w:tblPr/>
      <w:tcPr>
        <w:shd w:val="clear" w:color="auto" w:fill="B4C6E7" w:themeFill="accent1" w:themeFillTint="66"/>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tblStylePr w:type="neCell">
      <w:tblPr/>
      <w:tcPr>
        <w:shd w:val="clear" w:color="auto" w:fill="2F5496" w:themeFill="accent1" w:themeFillShade="BF"/>
      </w:tcPr>
    </w:tblStylePr>
    <w:tblStylePr w:type="nwCell">
      <w:tblPr/>
      <w:tcPr>
        <w:shd w:val="clear" w:color="auto" w:fill="808080" w:themeFill="background1" w:themeFillShade="80"/>
      </w:tcPr>
    </w:tblStylePr>
  </w:style>
  <w:style w:type="table" w:styleId="Grillemoyenne1-Accent4">
    <w:name w:val="Medium Grid 1 Accent 4"/>
    <w:basedOn w:val="TableauNormal"/>
    <w:uiPriority w:val="67"/>
    <w:rsid w:val="00C03EC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stemoyenne1-Accent6">
    <w:name w:val="Medium List 1 Accent 6"/>
    <w:basedOn w:val="TableauNormal"/>
    <w:uiPriority w:val="65"/>
    <w:rsid w:val="00C03EC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ecouleur-Accent4">
    <w:name w:val="Colorful List Accent 4"/>
    <w:basedOn w:val="TableauNormal"/>
    <w:uiPriority w:val="72"/>
    <w:rsid w:val="00C03EC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Tramecouleur-Accent2">
    <w:name w:val="Colorful Shading Accent 2"/>
    <w:basedOn w:val="TableauNormal"/>
    <w:uiPriority w:val="71"/>
    <w:rsid w:val="00C03EC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Grillemoyenne3-Accent3">
    <w:name w:val="Medium Grid 3 Accent 3"/>
    <w:basedOn w:val="TableauNormal"/>
    <w:uiPriority w:val="69"/>
    <w:rsid w:val="00C03E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Style7">
    <w:name w:val="Style7"/>
    <w:basedOn w:val="TableauNormal"/>
    <w:uiPriority w:val="99"/>
    <w:rsid w:val="00C03EC4"/>
    <w:pPr>
      <w:spacing w:after="0" w:line="240" w:lineRule="auto"/>
    </w:pPr>
    <w:tblPr/>
  </w:style>
  <w:style w:type="table" w:styleId="Trameclaire-Accent4">
    <w:name w:val="Light Shading Accent 4"/>
    <w:basedOn w:val="TableauNormal"/>
    <w:uiPriority w:val="60"/>
    <w:rsid w:val="00C03EC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0.png"/><Relationship Id="rId26" Type="http://schemas.openxmlformats.org/officeDocument/2006/relationships/chart" Target="charts/chart7.xml"/><Relationship Id="rId39" Type="http://schemas.openxmlformats.org/officeDocument/2006/relationships/image" Target="media/image12.png"/><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hyperlink" Target="https://www.ctc-n.org/technical-assistance/projects/design-and-financing-crop-drying-and-storage-technologies-strengthen" TargetMode="External"/><Relationship Id="rId47" Type="http://schemas.openxmlformats.org/officeDocument/2006/relationships/customXml" Target="../customXml/item1.xml"/><Relationship Id="rId50" Type="http://schemas.openxmlformats.org/officeDocument/2006/relationships/customXml" Target="../customXml/item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chart" Target="charts/chart9.xml"/><Relationship Id="rId11" Type="http://schemas.openxmlformats.org/officeDocument/2006/relationships/footer" Target="footer3.xml"/><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image" Target="media/image9.png"/><Relationship Id="rId49"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image" Target="media/image7.wmf"/><Relationship Id="rId31" Type="http://schemas.openxmlformats.org/officeDocument/2006/relationships/chart" Target="charts/chart11.xml"/><Relationship Id="rId44" Type="http://schemas.openxmlformats.org/officeDocument/2006/relationships/hyperlink" Target="https://www.ctc-n.org/technical-assistance/projects/study-valorization-forest-biomass-waste-energ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image" Target="media/image8.jpeg"/><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https://www.ctc-n.org/technical-assistance/projects/identification-climate-adaptation-technologies-rural-communities" TargetMode="External"/><Relationship Id="rId48"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customXml" Target="../customXml/item5.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hyperlink" Target="https://www.ctc-n.org/technical-assistance/projects/mainstreaming-gender-climate-resilient-energy-system-west-africa"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EICK\Desktop\CDN%20Mali\rapport\Evaluation_emission_CDN_Global_ca1%20(Enregistr&#233;%20automatiquemen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HEICK\Desktop\CDN%20Mali\rapport\Evaluation_emission_CDN_Global_ca2%20_18_04_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EICK\Dropbox\My%20PC%20(DESKTOP-4J9TQT3)\Desktop\CDN%20Mali\rapport\Evaluation_emission_CDN_Global_ca2%20_09_06_20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EICK\Desktop\CDN%20Mali\rapport\Evaluation_emission_CDN_Global_ca2%20_18_04_20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HEICK\Dropbox\My%20PC%20(DESKTOP-4J9TQT3)\Desktop\CDN%20Mali\rapport\Evaluation_emission_CDN_Global_ca2%20_18_04_2021%20(Enregistr&#233;%20automatiquemen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EICK\Dropbox\My%20PC%20(DESKTOP-4J9TQT3)\Desktop\CDN%20Mali\rapport\Evaluation_emission_CDN_Global_ca2%20_18_04_2021%20(Enregistr&#233;%20automatiquemen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HEICK\Desktop\CDN%20Mali\rapport\Evaluation_emission_CDN_Global_ca2%20_18_04_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IGA_OA\Desktop\feuillet%202%20rapport%20d'etapes%201304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file:///C:\Users\MAIGA_OA\Desktop\total%20detail%20co2%20ch4%20et%20n2o%20%202004%202017%20140420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MBELE\Desktop\Brouillon%20calcul%20donn&#233;es%20de%20base%20agriculture.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CHEICK\AppData\Roaming\Microsoft\Excel\Evaluation_emission_CDN_Global_ca2%20_18_04_2021%20(version%201).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EICK\Dropbox\My%20PC%20(DESKTOP-4J9TQT3)\Desktop\CDN%20Mali\rapport\Evaluation_emission_CDN_Global_ca2%20_09_06_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Proportion par</a:t>
            </a:r>
            <a:r>
              <a:rPr lang="en-US" sz="1000" baseline="0">
                <a:latin typeface="Times New Roman" panose="02020603050405020304" pitchFamily="18" charset="0"/>
                <a:cs typeface="Times New Roman" panose="02020603050405020304" pitchFamily="18" charset="0"/>
              </a:rPr>
              <a:t> </a:t>
            </a:r>
            <a:r>
              <a:rPr lang="en-US" sz="1000">
                <a:latin typeface="Times New Roman" panose="02020603050405020304" pitchFamily="18" charset="0"/>
                <a:cs typeface="Times New Roman" panose="02020603050405020304" pitchFamily="18" charset="0"/>
              </a:rPr>
              <a:t> type de GES - 2016</a:t>
            </a:r>
          </a:p>
        </c:rich>
      </c:tx>
      <c:overlay val="0"/>
      <c:spPr>
        <a:noFill/>
        <a:ln>
          <a:noFill/>
        </a:ln>
        <a:effectLst/>
      </c:spPr>
    </c:title>
    <c:autoTitleDeleted val="0"/>
    <c:plotArea>
      <c:layout/>
      <c:pieChart>
        <c:varyColors val="1"/>
        <c:ser>
          <c:idx val="0"/>
          <c:order val="0"/>
          <c:tx>
            <c:strRef>
              <c:f>Emission_Glob!$H$72</c:f>
              <c:strCache>
                <c:ptCount val="1"/>
                <c:pt idx="0">
                  <c:v>Energie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67A-4761-BA9B-1B2F4763FF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67A-4761-BA9B-1B2F4763FFA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67A-4761-BA9B-1B2F4763FFA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Emission_Glob!$I$71:$K$71</c:f>
              <c:strCache>
                <c:ptCount val="3"/>
                <c:pt idx="0">
                  <c:v>CO2</c:v>
                </c:pt>
                <c:pt idx="1">
                  <c:v>CH4</c:v>
                </c:pt>
                <c:pt idx="2">
                  <c:v>N2O</c:v>
                </c:pt>
              </c:strCache>
            </c:strRef>
          </c:cat>
          <c:val>
            <c:numRef>
              <c:f>Emission_Glob!$I$72:$K$72</c:f>
              <c:numCache>
                <c:formatCode>#,##0</c:formatCode>
                <c:ptCount val="3"/>
                <c:pt idx="0">
                  <c:v>20330.643120000004</c:v>
                </c:pt>
                <c:pt idx="1">
                  <c:v>3285.9551187479342</c:v>
                </c:pt>
                <c:pt idx="2" formatCode="0">
                  <c:v>1092.1478197479837</c:v>
                </c:pt>
              </c:numCache>
            </c:numRef>
          </c:val>
          <c:extLst>
            <c:ext xmlns:c16="http://schemas.microsoft.com/office/drawing/2014/chart" uri="{C3380CC4-5D6E-409C-BE32-E72D297353CC}">
              <c16:uniqueId val="{00000006-C67A-4761-BA9B-1B2F4763FFA7}"/>
            </c:ext>
          </c:extLst>
        </c:ser>
        <c:ser>
          <c:idx val="1"/>
          <c:order val="1"/>
          <c:tx>
            <c:strRef>
              <c:f>Emission_Glob!$H$73</c:f>
              <c:strCache>
                <c:ptCount val="1"/>
                <c:pt idx="0">
                  <c:v>Agriculture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C67A-4761-BA9B-1B2F4763FF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C67A-4761-BA9B-1B2F4763FFA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C67A-4761-BA9B-1B2F4763FFA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Emission_Glob!$I$71:$K$71</c:f>
              <c:strCache>
                <c:ptCount val="3"/>
                <c:pt idx="0">
                  <c:v>CO2</c:v>
                </c:pt>
                <c:pt idx="1">
                  <c:v>CH4</c:v>
                </c:pt>
                <c:pt idx="2">
                  <c:v>N2O</c:v>
                </c:pt>
              </c:strCache>
            </c:strRef>
          </c:cat>
          <c:val>
            <c:numRef>
              <c:f>Emission_Glob!$I$73:$K$73</c:f>
              <c:numCache>
                <c:formatCode>#,##0</c:formatCode>
                <c:ptCount val="3"/>
                <c:pt idx="0">
                  <c:v>78358.270886060418</c:v>
                </c:pt>
                <c:pt idx="1">
                  <c:v>50904.632659944575</c:v>
                </c:pt>
                <c:pt idx="2" formatCode="0">
                  <c:v>27453.638226115956</c:v>
                </c:pt>
              </c:numCache>
            </c:numRef>
          </c:val>
          <c:extLst>
            <c:ext xmlns:c16="http://schemas.microsoft.com/office/drawing/2014/chart" uri="{C3380CC4-5D6E-409C-BE32-E72D297353CC}">
              <c16:uniqueId val="{0000000D-C67A-4761-BA9B-1B2F4763FFA7}"/>
            </c:ext>
          </c:extLst>
        </c:ser>
        <c:ser>
          <c:idx val="2"/>
          <c:order val="2"/>
          <c:tx>
            <c:strRef>
              <c:f>Emission_Glob!$H$74</c:f>
              <c:strCache>
                <c:ptCount val="1"/>
                <c:pt idx="0">
                  <c:v>Forets et Changement d’Affectation des terres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C67A-4761-BA9B-1B2F4763FF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C67A-4761-BA9B-1B2F4763FFA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C67A-4761-BA9B-1B2F4763FFA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Emission_Glob!$I$71:$K$71</c:f>
              <c:strCache>
                <c:ptCount val="3"/>
                <c:pt idx="0">
                  <c:v>CO2</c:v>
                </c:pt>
                <c:pt idx="1">
                  <c:v>CH4</c:v>
                </c:pt>
                <c:pt idx="2">
                  <c:v>N2O</c:v>
                </c:pt>
              </c:strCache>
            </c:strRef>
          </c:cat>
          <c:val>
            <c:numRef>
              <c:f>Emission_Glob!$I$74:$K$74</c:f>
              <c:numCache>
                <c:formatCode>General</c:formatCode>
                <c:ptCount val="3"/>
                <c:pt idx="0" formatCode="#,##0">
                  <c:v>-334424.77778422664</c:v>
                </c:pt>
                <c:pt idx="1">
                  <c:v>0</c:v>
                </c:pt>
                <c:pt idx="2">
                  <c:v>0</c:v>
                </c:pt>
              </c:numCache>
            </c:numRef>
          </c:val>
          <c:extLst>
            <c:ext xmlns:c16="http://schemas.microsoft.com/office/drawing/2014/chart" uri="{C3380CC4-5D6E-409C-BE32-E72D297353CC}">
              <c16:uniqueId val="{00000014-C67A-4761-BA9B-1B2F4763FFA7}"/>
            </c:ext>
          </c:extLst>
        </c:ser>
        <c:ser>
          <c:idx val="3"/>
          <c:order val="3"/>
          <c:tx>
            <c:strRef>
              <c:f>Emission_Glob!$H$75</c:f>
              <c:strCache>
                <c:ptCount val="1"/>
                <c:pt idx="0">
                  <c:v>Déchets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C67A-4761-BA9B-1B2F4763FF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C67A-4761-BA9B-1B2F4763FFA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C67A-4761-BA9B-1B2F4763FFA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Emission_Glob!$I$71:$K$71</c:f>
              <c:strCache>
                <c:ptCount val="3"/>
                <c:pt idx="0">
                  <c:v>CO2</c:v>
                </c:pt>
                <c:pt idx="1">
                  <c:v>CH4</c:v>
                </c:pt>
                <c:pt idx="2">
                  <c:v>N2O</c:v>
                </c:pt>
              </c:strCache>
            </c:strRef>
          </c:cat>
          <c:val>
            <c:numRef>
              <c:f>Emission_Glob!$I$75:$K$75</c:f>
              <c:numCache>
                <c:formatCode>0</c:formatCode>
                <c:ptCount val="3"/>
                <c:pt idx="0" formatCode="#,##0">
                  <c:v>436.12</c:v>
                </c:pt>
                <c:pt idx="1">
                  <c:v>239.33113584905664</c:v>
                </c:pt>
                <c:pt idx="2">
                  <c:v>160.87361805929947</c:v>
                </c:pt>
              </c:numCache>
            </c:numRef>
          </c:val>
          <c:extLst>
            <c:ext xmlns:c16="http://schemas.microsoft.com/office/drawing/2014/chart" uri="{C3380CC4-5D6E-409C-BE32-E72D297353CC}">
              <c16:uniqueId val="{0000001B-C67A-4761-BA9B-1B2F4763FFA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274873982208414"/>
          <c:y val="0.25140674722430151"/>
          <c:w val="0.12428682169605162"/>
          <c:h val="0.59482868289373247"/>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zero"/>
    <c:showDLblsOverMax val="0"/>
  </c:chart>
  <c:spPr>
    <a:gradFill flip="none" rotWithShape="1">
      <a:gsLst>
        <a:gs pos="0">
          <a:schemeClr val="lt1"/>
        </a:gs>
        <a:gs pos="63000">
          <a:schemeClr val="lt1"/>
        </a:gs>
        <a:gs pos="100000">
          <a:schemeClr val="lt1">
            <a:lumMod val="75000"/>
          </a:schemeClr>
        </a:gs>
      </a:gsLst>
      <a:path path="circle">
        <a:fillToRect l="50000" t="-80000" r="50000" b="180000"/>
      </a:path>
      <a:tileRect/>
    </a:gradFill>
    <a:ln w="9525" cap="flat" cmpd="sng" algn="ctr">
      <a:solidFill>
        <a:schemeClr val="bg1"/>
      </a:solid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cap="all" spc="15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fr-FR" sz="1100"/>
              <a:t>Evolution des emissions de GES  niveau du secteur de l'Agriculture </a:t>
            </a:r>
          </a:p>
        </c:rich>
      </c:tx>
      <c:layout>
        <c:manualLayout>
          <c:xMode val="edge"/>
          <c:yMode val="edge"/>
          <c:x val="0.15585746495385833"/>
          <c:y val="2.0560478916686272E-2"/>
        </c:manualLayout>
      </c:layout>
      <c:overlay val="0"/>
      <c:spPr>
        <a:noFill/>
        <a:ln>
          <a:noFill/>
        </a:ln>
        <a:effectLst/>
      </c:spPr>
    </c:title>
    <c:autoTitleDeleted val="0"/>
    <c:plotArea>
      <c:layout>
        <c:manualLayout>
          <c:layoutTarget val="inner"/>
          <c:xMode val="edge"/>
          <c:yMode val="edge"/>
          <c:x val="0.15555835962481021"/>
          <c:y val="0.35330579016171659"/>
          <c:w val="0.8432958692078657"/>
          <c:h val="0.58333020769044541"/>
        </c:manualLayout>
      </c:layout>
      <c:lineChart>
        <c:grouping val="standard"/>
        <c:varyColors val="0"/>
        <c:ser>
          <c:idx val="0"/>
          <c:order val="0"/>
          <c:tx>
            <c:strRef>
              <c:f>Agricult!$C$14</c:f>
              <c:strCache>
                <c:ptCount val="1"/>
                <c:pt idx="0">
                  <c:v>Emissions de GES en KT EqCO2(Senario de base)</c:v>
                </c:pt>
              </c:strCache>
            </c:strRef>
          </c:tx>
          <c:spPr>
            <a:ln w="38100" cap="flat" cmpd="sng" algn="ctr">
              <a:solidFill>
                <a:srgbClr val="FF0000">
                  <a:alpha val="98000"/>
                </a:srgbClr>
              </a:solidFill>
              <a:miter lim="800000"/>
            </a:ln>
            <a:effectLst/>
          </c:spPr>
          <c:marker>
            <c:symbol val="none"/>
          </c:marker>
          <c:cat>
            <c:numRef>
              <c:f>Agricult!$B$15:$B$32</c:f>
              <c:numCache>
                <c:formatCode>General</c:formatCode>
                <c:ptCount val="4"/>
                <c:pt idx="0">
                  <c:v>2019</c:v>
                </c:pt>
                <c:pt idx="1">
                  <c:v>2020</c:v>
                </c:pt>
                <c:pt idx="2">
                  <c:v>2025</c:v>
                </c:pt>
                <c:pt idx="3">
                  <c:v>2030</c:v>
                </c:pt>
              </c:numCache>
              <c:extLst/>
            </c:numRef>
          </c:cat>
          <c:val>
            <c:numRef>
              <c:f>Agricult!$C$15:$C$32</c:f>
              <c:numCache>
                <c:formatCode>#,##0</c:formatCode>
                <c:ptCount val="4"/>
                <c:pt idx="0">
                  <c:v>77347.438949999996</c:v>
                </c:pt>
                <c:pt idx="1">
                  <c:v>76667.047106950005</c:v>
                </c:pt>
                <c:pt idx="2">
                  <c:v>77647.855595376488</c:v>
                </c:pt>
                <c:pt idx="3">
                  <c:v>84902.72483021651</c:v>
                </c:pt>
              </c:numCache>
              <c:extLst/>
            </c:numRef>
          </c:val>
          <c:smooth val="0"/>
          <c:extLst>
            <c:ext xmlns:c16="http://schemas.microsoft.com/office/drawing/2014/chart" uri="{C3380CC4-5D6E-409C-BE32-E72D297353CC}">
              <c16:uniqueId val="{00000000-DEC7-471C-B9B7-72A1F289F1A8}"/>
            </c:ext>
          </c:extLst>
        </c:ser>
        <c:ser>
          <c:idx val="1"/>
          <c:order val="1"/>
          <c:tx>
            <c:strRef>
              <c:f>Agricult!$D$14</c:f>
              <c:strCache>
                <c:ptCount val="1"/>
                <c:pt idx="0">
                  <c:v>Attenuation de GES en KTEqCO2 (Senario d'atténuation)</c:v>
                </c:pt>
              </c:strCache>
            </c:strRef>
          </c:tx>
          <c:spPr>
            <a:ln w="38100" cap="flat" cmpd="sng" algn="ctr">
              <a:solidFill>
                <a:srgbClr val="00B050"/>
              </a:solidFill>
              <a:miter lim="800000"/>
            </a:ln>
            <a:effectLst/>
          </c:spPr>
          <c:marker>
            <c:symbol val="none"/>
          </c:marker>
          <c:dPt>
            <c:idx val="3"/>
            <c:bubble3D val="0"/>
            <c:extLst>
              <c:ext xmlns:c16="http://schemas.microsoft.com/office/drawing/2014/chart" uri="{C3380CC4-5D6E-409C-BE32-E72D297353CC}">
                <c16:uniqueId val="{00000001-DEC7-471C-B9B7-72A1F289F1A8}"/>
              </c:ext>
            </c:extLst>
          </c:dPt>
          <c:cat>
            <c:numRef>
              <c:f>Agricult!$B$15:$B$32</c:f>
              <c:numCache>
                <c:formatCode>General</c:formatCode>
                <c:ptCount val="4"/>
                <c:pt idx="0">
                  <c:v>2019</c:v>
                </c:pt>
                <c:pt idx="1">
                  <c:v>2020</c:v>
                </c:pt>
                <c:pt idx="2">
                  <c:v>2025</c:v>
                </c:pt>
                <c:pt idx="3">
                  <c:v>2030</c:v>
                </c:pt>
              </c:numCache>
              <c:extLst/>
            </c:numRef>
          </c:cat>
          <c:val>
            <c:numRef>
              <c:f>Agricult!$D$15:$D$32</c:f>
              <c:numCache>
                <c:formatCode>#,##0</c:formatCode>
                <c:ptCount val="4"/>
                <c:pt idx="0">
                  <c:v>77347.438949999996</c:v>
                </c:pt>
                <c:pt idx="1">
                  <c:v>76667.047106950005</c:v>
                </c:pt>
                <c:pt idx="2">
                  <c:v>62118.284476301196</c:v>
                </c:pt>
                <c:pt idx="3">
                  <c:v>63677.043622662386</c:v>
                </c:pt>
              </c:numCache>
              <c:extLst/>
            </c:numRef>
          </c:val>
          <c:smooth val="0"/>
          <c:extLst>
            <c:ext xmlns:c16="http://schemas.microsoft.com/office/drawing/2014/chart" uri="{C3380CC4-5D6E-409C-BE32-E72D297353CC}">
              <c16:uniqueId val="{00000002-DEC7-471C-B9B7-72A1F289F1A8}"/>
            </c:ext>
          </c:extLst>
        </c:ser>
        <c:dLbls>
          <c:showLegendKey val="0"/>
          <c:showVal val="0"/>
          <c:showCatName val="0"/>
          <c:showSerName val="0"/>
          <c:showPercent val="0"/>
          <c:showBubbleSize val="0"/>
        </c:dLbls>
        <c:smooth val="0"/>
        <c:axId val="654192504"/>
        <c:axId val="654193288"/>
        <c:extLst/>
      </c:lineChart>
      <c:catAx>
        <c:axId val="65419250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654193288"/>
        <c:crosses val="autoZero"/>
        <c:auto val="1"/>
        <c:lblAlgn val="ctr"/>
        <c:lblOffset val="100"/>
        <c:noMultiLvlLbl val="0"/>
      </c:catAx>
      <c:valAx>
        <c:axId val="654193288"/>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654192504"/>
        <c:crosses val="autoZero"/>
        <c:crossBetween val="between"/>
      </c:valAx>
      <c:spPr>
        <a:noFill/>
        <a:ln>
          <a:noFill/>
        </a:ln>
        <a:effectLst/>
      </c:spPr>
    </c:plotArea>
    <c:legend>
      <c:legendPos val="t"/>
      <c:layout>
        <c:manualLayout>
          <c:xMode val="edge"/>
          <c:yMode val="edge"/>
          <c:x val="7.2781343834347326E-2"/>
          <c:y val="0.1766946853162342"/>
          <c:w val="0.89999999084673132"/>
          <c:h val="0.1005519879635298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bg1"/>
      </a:solidFill>
      <a:round/>
    </a:ln>
    <a:effectLst/>
  </c:spPr>
  <c:txPr>
    <a:bodyPr/>
    <a:lstStyle/>
    <a:p>
      <a:pPr>
        <a:defRPr sz="1050">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Emission_Glob!$E$22</c:f>
              <c:strCache>
                <c:ptCount val="1"/>
                <c:pt idx="0">
                  <c:v>Sequestration avec scenario de base (KT CO2 )</c:v>
                </c:pt>
              </c:strCache>
            </c:strRef>
          </c:tx>
          <c:spPr>
            <a:ln w="28575" cap="rnd">
              <a:solidFill>
                <a:schemeClr val="accent2"/>
              </a:solidFill>
              <a:round/>
            </a:ln>
            <a:effectLst/>
          </c:spPr>
          <c:marker>
            <c:symbol val="none"/>
          </c:marker>
          <c:cat>
            <c:numRef>
              <c:f>Emission_Glob!$D$23:$D$38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c:numRef>
          </c:cat>
          <c:val>
            <c:numRef>
              <c:f>Emission_Glob!$E$23:$E$38</c:f>
              <c:numCache>
                <c:formatCode>#,##0</c:formatCode>
                <c:ptCount val="11"/>
                <c:pt idx="0">
                  <c:v>-334386.22853394481</c:v>
                </c:pt>
                <c:pt idx="1">
                  <c:v>-334347.68372724735</c:v>
                </c:pt>
                <c:pt idx="2">
                  <c:v>-334309.14336362196</c:v>
                </c:pt>
                <c:pt idx="3">
                  <c:v>-334270.60744255653</c:v>
                </c:pt>
                <c:pt idx="4">
                  <c:v>-334232.07596353895</c:v>
                </c:pt>
                <c:pt idx="5">
                  <c:v>-334193.54892605718</c:v>
                </c:pt>
                <c:pt idx="6">
                  <c:v>-334155.02632959926</c:v>
                </c:pt>
                <c:pt idx="7">
                  <c:v>-334116.50817365327</c:v>
                </c:pt>
                <c:pt idx="8">
                  <c:v>-334077.99445770733</c:v>
                </c:pt>
                <c:pt idx="9">
                  <c:v>-334039.48518124968</c:v>
                </c:pt>
                <c:pt idx="10">
                  <c:v>-334000.98034376855</c:v>
                </c:pt>
              </c:numCache>
              <c:extLst/>
            </c:numRef>
          </c:val>
          <c:smooth val="0"/>
          <c:extLst>
            <c:ext xmlns:c16="http://schemas.microsoft.com/office/drawing/2014/chart" uri="{C3380CC4-5D6E-409C-BE32-E72D297353CC}">
              <c16:uniqueId val="{00000000-83D1-4B4E-8D3A-5C264EAB85C3}"/>
            </c:ext>
          </c:extLst>
        </c:ser>
        <c:ser>
          <c:idx val="2"/>
          <c:order val="1"/>
          <c:tx>
            <c:strRef>
              <c:f>Emission_Glob!$F$22</c:f>
              <c:strCache>
                <c:ptCount val="1"/>
                <c:pt idx="0">
                  <c:v>Sequestration  avec scenario d'attenuation( KT CO2KT)</c:v>
                </c:pt>
              </c:strCache>
            </c:strRef>
          </c:tx>
          <c:spPr>
            <a:ln w="28575" cap="rnd">
              <a:solidFill>
                <a:schemeClr val="accent3"/>
              </a:solidFill>
              <a:round/>
            </a:ln>
            <a:effectLst/>
          </c:spPr>
          <c:marker>
            <c:symbol val="none"/>
          </c:marker>
          <c:cat>
            <c:numRef>
              <c:f>Emission_Glob!$D$23:$D$38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extLst/>
            </c:numRef>
          </c:cat>
          <c:val>
            <c:numRef>
              <c:f>Emission_Glob!$F$23:$F$38</c:f>
              <c:numCache>
                <c:formatCode>#,##0</c:formatCode>
                <c:ptCount val="11"/>
                <c:pt idx="0">
                  <c:v>-334386.22853394481</c:v>
                </c:pt>
                <c:pt idx="1">
                  <c:v>-334347.68372724735</c:v>
                </c:pt>
                <c:pt idx="2">
                  <c:v>-335346.03643598495</c:v>
                </c:pt>
                <c:pt idx="3">
                  <c:v>-339550.57611366798</c:v>
                </c:pt>
                <c:pt idx="4">
                  <c:v>-343032.02374872472</c:v>
                </c:pt>
                <c:pt idx="5">
                  <c:v>-357005.19651804253</c:v>
                </c:pt>
                <c:pt idx="6">
                  <c:v>-362669.58581958094</c:v>
                </c:pt>
                <c:pt idx="7">
                  <c:v>-368333.97956163133</c:v>
                </c:pt>
                <c:pt idx="8">
                  <c:v>-373998.37774368172</c:v>
                </c:pt>
                <c:pt idx="9">
                  <c:v>-379662.78036522039</c:v>
                </c:pt>
                <c:pt idx="10">
                  <c:v>-391030.09932373196</c:v>
                </c:pt>
              </c:numCache>
              <c:extLst/>
            </c:numRef>
          </c:val>
          <c:smooth val="0"/>
          <c:extLst>
            <c:ext xmlns:c16="http://schemas.microsoft.com/office/drawing/2014/chart" uri="{C3380CC4-5D6E-409C-BE32-E72D297353CC}">
              <c16:uniqueId val="{00000001-83D1-4B4E-8D3A-5C264EAB85C3}"/>
            </c:ext>
          </c:extLst>
        </c:ser>
        <c:dLbls>
          <c:showLegendKey val="0"/>
          <c:showVal val="0"/>
          <c:showCatName val="0"/>
          <c:showSerName val="0"/>
          <c:showPercent val="0"/>
          <c:showBubbleSize val="0"/>
        </c:dLbls>
        <c:smooth val="0"/>
        <c:axId val="668249328"/>
        <c:axId val="668250896"/>
        <c:extLst>
          <c:ext xmlns:c15="http://schemas.microsoft.com/office/drawing/2012/chart" uri="{02D57815-91ED-43cb-92C2-25804820EDAC}">
            <c15:filteredLineSeries>
              <c15:ser>
                <c:idx val="3"/>
                <c:order val="2"/>
                <c:tx>
                  <c:strRef>
                    <c:extLst>
                      <c:ext uri="{02D57815-91ED-43cb-92C2-25804820EDAC}">
                        <c15:formulaRef>
                          <c15:sqref>Emission_Glob!$G$22</c15:sqref>
                        </c15:formulaRef>
                      </c:ext>
                    </c:extLst>
                    <c:strCache>
                      <c:ptCount val="1"/>
                      <c:pt idx="0">
                        <c:v>Bilan</c:v>
                      </c:pt>
                    </c:strCache>
                  </c:strRef>
                </c:tx>
                <c:spPr>
                  <a:ln w="28575" cap="rnd">
                    <a:solidFill>
                      <a:schemeClr val="accent4"/>
                    </a:solidFill>
                    <a:round/>
                  </a:ln>
                  <a:effectLst/>
                </c:spPr>
                <c:marker>
                  <c:symbol val="none"/>
                </c:marker>
                <c:cat>
                  <c:numRef>
                    <c:extLst>
                      <c:ext uri="{02D57815-91ED-43cb-92C2-25804820EDAC}">
                        <c15:formulaRef>
                          <c15:sqref>Emission_Glob!$D$23:$D$38</c15:sqref>
                        </c15:formulaRef>
                      </c:ext>
                    </c:extLst>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extLst>
                      <c:ext uri="{02D57815-91ED-43cb-92C2-25804820EDAC}">
                        <c15:formulaRef>
                          <c15:sqref>Emission_Glob!$G$23:$G$38</c15:sqref>
                        </c15:formulaRef>
                      </c:ext>
                    </c:extLst>
                    <c:numCache>
                      <c:formatCode>#,##0</c:formatCode>
                      <c:ptCount val="11"/>
                      <c:pt idx="0">
                        <c:v>0</c:v>
                      </c:pt>
                      <c:pt idx="1">
                        <c:v>0</c:v>
                      </c:pt>
                      <c:pt idx="2">
                        <c:v>-1036.8930723629892</c:v>
                      </c:pt>
                      <c:pt idx="3">
                        <c:v>-5279.9686711114482</c:v>
                      </c:pt>
                      <c:pt idx="4">
                        <c:v>-8799.9477851857664</c:v>
                      </c:pt>
                      <c:pt idx="5">
                        <c:v>-22811.647591985355</c:v>
                      </c:pt>
                      <c:pt idx="6">
                        <c:v>-28514.559489981679</c:v>
                      </c:pt>
                      <c:pt idx="7">
                        <c:v>-34217.471387978061</c:v>
                      </c:pt>
                      <c:pt idx="8">
                        <c:v>-39920.383285974385</c:v>
                      </c:pt>
                      <c:pt idx="9">
                        <c:v>-45623.295183970709</c:v>
                      </c:pt>
                      <c:pt idx="10">
                        <c:v>-57029.118979963416</c:v>
                      </c:pt>
                    </c:numCache>
                  </c:numRef>
                </c:val>
                <c:smooth val="0"/>
                <c:extLst>
                  <c:ext xmlns:c16="http://schemas.microsoft.com/office/drawing/2014/chart" uri="{C3380CC4-5D6E-409C-BE32-E72D297353CC}">
                    <c16:uniqueId val="{00000002-83D1-4B4E-8D3A-5C264EAB85C3}"/>
                  </c:ext>
                </c:extLst>
              </c15:ser>
            </c15:filteredLineSeries>
          </c:ext>
        </c:extLst>
      </c:lineChart>
      <c:catAx>
        <c:axId val="66824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668250896"/>
        <c:crosses val="autoZero"/>
        <c:auto val="1"/>
        <c:lblAlgn val="ctr"/>
        <c:lblOffset val="100"/>
        <c:noMultiLvlLbl val="0"/>
      </c:catAx>
      <c:valAx>
        <c:axId val="668250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66824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fr-FR" sz="1100" b="1">
                <a:solidFill>
                  <a:sysClr val="windowText" lastClr="000000"/>
                </a:solidFill>
              </a:rPr>
              <a:t>Senario de base et senario d'attenuation du secteur Déchet - </a:t>
            </a:r>
          </a:p>
          <a:p>
            <a:pPr>
              <a:defRPr sz="1100" b="1" i="0" u="none" strike="noStrike" kern="1200" spc="0" baseline="0">
                <a:solidFill>
                  <a:sysClr val="windowText" lastClr="000000"/>
                </a:solidFill>
                <a:latin typeface="+mn-lt"/>
                <a:ea typeface="+mn-ea"/>
                <a:cs typeface="+mn-cs"/>
              </a:defRPr>
            </a:pPr>
            <a:r>
              <a:rPr lang="fr-FR" sz="1100" b="1">
                <a:solidFill>
                  <a:sysClr val="windowText" lastClr="000000"/>
                </a:solidFill>
              </a:rPr>
              <a:t>Periode 2020 - 2030 </a:t>
            </a:r>
          </a:p>
        </c:rich>
      </c:tx>
      <c:overlay val="0"/>
      <c:spPr>
        <a:noFill/>
        <a:ln>
          <a:noFill/>
        </a:ln>
        <a:effectLst/>
      </c:spPr>
    </c:title>
    <c:autoTitleDeleted val="0"/>
    <c:plotArea>
      <c:layout/>
      <c:lineChart>
        <c:grouping val="standard"/>
        <c:varyColors val="0"/>
        <c:ser>
          <c:idx val="5"/>
          <c:order val="4"/>
          <c:tx>
            <c:strRef>
              <c:f>Dechet!$G$2</c:f>
              <c:strCache>
                <c:ptCount val="1"/>
                <c:pt idx="0">
                  <c:v>TOTAL emission en  KT EQ CO2(senario de base) corrigé</c:v>
                </c:pt>
              </c:strCache>
            </c:strRef>
          </c:tx>
          <c:spPr>
            <a:ln w="28575" cap="rnd">
              <a:solidFill>
                <a:schemeClr val="accent6"/>
              </a:solidFill>
              <a:round/>
            </a:ln>
            <a:effectLst/>
          </c:spPr>
          <c:marker>
            <c:symbol val="none"/>
          </c:marker>
          <c:cat>
            <c:numRef>
              <c:f>Dechet!$B$3:$B$19</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Dechet!$G$3:$G$19</c:f>
              <c:numCache>
                <c:formatCode>#,##0</c:formatCode>
                <c:ptCount val="17"/>
                <c:pt idx="0" formatCode="0">
                  <c:v>527.64</c:v>
                </c:pt>
                <c:pt idx="1">
                  <c:v>356.33</c:v>
                </c:pt>
                <c:pt idx="2">
                  <c:v>477.98</c:v>
                </c:pt>
                <c:pt idx="3">
                  <c:v>421.61</c:v>
                </c:pt>
                <c:pt idx="4">
                  <c:v>491.76</c:v>
                </c:pt>
                <c:pt idx="5">
                  <c:v>436.12</c:v>
                </c:pt>
                <c:pt idx="6">
                  <c:v>505.89919999999995</c:v>
                </c:pt>
                <c:pt idx="7">
                  <c:v>586.84307199999989</c:v>
                </c:pt>
                <c:pt idx="8">
                  <c:v>680.73796351999988</c:v>
                </c:pt>
                <c:pt idx="9">
                  <c:v>789.65603768319977</c:v>
                </c:pt>
                <c:pt idx="10">
                  <c:v>916.00100371251165</c:v>
                </c:pt>
                <c:pt idx="11">
                  <c:v>1062.5611643065135</c:v>
                </c:pt>
                <c:pt idx="12">
                  <c:v>1232.5709505955556</c:v>
                </c:pt>
                <c:pt idx="13">
                  <c:v>1429.7823026908443</c:v>
                </c:pt>
                <c:pt idx="14">
                  <c:v>1658.5474711213792</c:v>
                </c:pt>
                <c:pt idx="15">
                  <c:v>1923.9150665007996</c:v>
                </c:pt>
                <c:pt idx="16">
                  <c:v>2231.7414771409276</c:v>
                </c:pt>
              </c:numCache>
            </c:numRef>
          </c:val>
          <c:smooth val="0"/>
          <c:extLst>
            <c:ext xmlns:c16="http://schemas.microsoft.com/office/drawing/2014/chart" uri="{C3380CC4-5D6E-409C-BE32-E72D297353CC}">
              <c16:uniqueId val="{00000000-D9E1-4DD6-BF18-34E7E47DAF73}"/>
            </c:ext>
          </c:extLst>
        </c:ser>
        <c:ser>
          <c:idx val="6"/>
          <c:order val="5"/>
          <c:tx>
            <c:strRef>
              <c:f>Dechet!$H$2</c:f>
              <c:strCache>
                <c:ptCount val="1"/>
                <c:pt idx="0">
                  <c:v>TOTAL attenuation en KTEQ CO2(senario d'attenuation) avec 7,4%</c:v>
                </c:pt>
              </c:strCache>
            </c:strRef>
          </c:tx>
          <c:spPr>
            <a:ln w="28575" cap="rnd">
              <a:solidFill>
                <a:schemeClr val="accent1">
                  <a:lumMod val="60000"/>
                </a:schemeClr>
              </a:solidFill>
              <a:round/>
            </a:ln>
            <a:effectLst/>
          </c:spPr>
          <c:marker>
            <c:symbol val="none"/>
          </c:marker>
          <c:cat>
            <c:numRef>
              <c:f>Dechet!$B$3:$B$19</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Dechet!$H$3:$H$19</c:f>
              <c:numCache>
                <c:formatCode>0</c:formatCode>
                <c:ptCount val="17"/>
                <c:pt idx="0">
                  <c:v>527.64</c:v>
                </c:pt>
                <c:pt idx="1">
                  <c:v>356.33</c:v>
                </c:pt>
                <c:pt idx="2">
                  <c:v>477.98</c:v>
                </c:pt>
                <c:pt idx="3">
                  <c:v>421.61</c:v>
                </c:pt>
                <c:pt idx="4">
                  <c:v>491.76</c:v>
                </c:pt>
                <c:pt idx="5">
                  <c:v>436.12</c:v>
                </c:pt>
                <c:pt idx="6">
                  <c:v>505.89919999999995</c:v>
                </c:pt>
                <c:pt idx="7" formatCode="#,##0">
                  <c:v>470.48625599999991</c:v>
                </c:pt>
                <c:pt idx="8" formatCode="#,##0">
                  <c:v>528.15876479999997</c:v>
                </c:pt>
                <c:pt idx="9" formatCode="#,##0">
                  <c:v>612.66416716799995</c:v>
                </c:pt>
                <c:pt idx="10" formatCode="#,##0">
                  <c:v>671.20763203071976</c:v>
                </c:pt>
                <c:pt idx="11" formatCode="#,##0">
                  <c:v>732.80080297000939</c:v>
                </c:pt>
                <c:pt idx="12" formatCode="#,##0">
                  <c:v>850.04893144521088</c:v>
                </c:pt>
                <c:pt idx="13" formatCode="#,##0">
                  <c:v>986.05676047644454</c:v>
                </c:pt>
                <c:pt idx="14" formatCode="#,##0">
                  <c:v>1143.8258421526755</c:v>
                </c:pt>
                <c:pt idx="15" formatCode="#,##0">
                  <c:v>1326.8379768971035</c:v>
                </c:pt>
                <c:pt idx="16" formatCode="#,##0">
                  <c:v>1539.1320532006398</c:v>
                </c:pt>
              </c:numCache>
            </c:numRef>
          </c:val>
          <c:smooth val="0"/>
          <c:extLst>
            <c:ext xmlns:c16="http://schemas.microsoft.com/office/drawing/2014/chart" uri="{C3380CC4-5D6E-409C-BE32-E72D297353CC}">
              <c16:uniqueId val="{00000001-D9E1-4DD6-BF18-34E7E47DAF73}"/>
            </c:ext>
          </c:extLst>
        </c:ser>
        <c:dLbls>
          <c:showLegendKey val="0"/>
          <c:showVal val="0"/>
          <c:showCatName val="0"/>
          <c:showSerName val="0"/>
          <c:showPercent val="0"/>
          <c:showBubbleSize val="0"/>
        </c:dLbls>
        <c:smooth val="0"/>
        <c:axId val="518731248"/>
        <c:axId val="412263056"/>
        <c:extLst>
          <c:ext xmlns:c15="http://schemas.microsoft.com/office/drawing/2012/chart" uri="{02D57815-91ED-43cb-92C2-25804820EDAC}">
            <c15:filteredLineSeries>
              <c15:ser>
                <c:idx val="1"/>
                <c:order val="0"/>
                <c:tx>
                  <c:strRef>
                    <c:extLst>
                      <c:ext uri="{02D57815-91ED-43cb-92C2-25804820EDAC}">
                        <c15:formulaRef>
                          <c15:sqref>Dechet!$C$2</c15:sqref>
                        </c15:formulaRef>
                      </c:ext>
                    </c:extLst>
                    <c:strCache>
                      <c:ptCount val="1"/>
                      <c:pt idx="0">
                        <c:v>TOTAL emission en  KT EQ CO2(senario de base)</c:v>
                      </c:pt>
                    </c:strCache>
                  </c:strRef>
                </c:tx>
                <c:spPr>
                  <a:ln w="28575" cap="rnd">
                    <a:solidFill>
                      <a:schemeClr val="accent2"/>
                    </a:solidFill>
                    <a:round/>
                  </a:ln>
                  <a:effectLst/>
                </c:spPr>
                <c:marker>
                  <c:symbol val="none"/>
                </c:marker>
                <c:cat>
                  <c:numRef>
                    <c:extLst>
                      <c:ext uri="{02D57815-91ED-43cb-92C2-25804820EDAC}">
                        <c15:formulaRef>
                          <c15:sqref>Dechet!$B$3:$B$19</c15:sqref>
                        </c15:formulaRef>
                      </c:ext>
                    </c:extLst>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extLst>
                      <c:ext uri="{02D57815-91ED-43cb-92C2-25804820EDAC}">
                        <c15:formulaRef>
                          <c15:sqref>Dechet!$C$3:$C$19</c15:sqref>
                        </c15:formulaRef>
                      </c:ext>
                    </c:extLst>
                    <c:numCache>
                      <c:formatCode>#,##0</c:formatCode>
                      <c:ptCount val="17"/>
                      <c:pt idx="0">
                        <c:v>951.80093209999995</c:v>
                      </c:pt>
                      <c:pt idx="1">
                        <c:v>1193.06916</c:v>
                      </c:pt>
                      <c:pt idx="2">
                        <c:v>1401.683315</c:v>
                      </c:pt>
                      <c:pt idx="3">
                        <c:v>1587.647283</c:v>
                      </c:pt>
                      <c:pt idx="4">
                        <c:v>1779.259268</c:v>
                      </c:pt>
                      <c:pt idx="5">
                        <c:v>1966.9273189999999</c:v>
                      </c:pt>
                      <c:pt idx="6">
                        <c:v>2152.960642</c:v>
                      </c:pt>
                      <c:pt idx="7">
                        <c:v>2177.0380519999999</c:v>
                      </c:pt>
                      <c:pt idx="8">
                        <c:v>2205.1042069999999</c:v>
                      </c:pt>
                      <c:pt idx="9">
                        <c:v>2229.2741580000002</c:v>
                      </c:pt>
                      <c:pt idx="10">
                        <c:v>2257.3534119999999</c:v>
                      </c:pt>
                      <c:pt idx="11">
                        <c:v>2281.5149110000002</c:v>
                      </c:pt>
                      <c:pt idx="12">
                        <c:v>2309.5730370000001</c:v>
                      </c:pt>
                      <c:pt idx="13">
                        <c:v>2337.7156759999998</c:v>
                      </c:pt>
                      <c:pt idx="14">
                        <c:v>2365.8583149999999</c:v>
                      </c:pt>
                      <c:pt idx="15">
                        <c:v>2397.939836</c:v>
                      </c:pt>
                      <c:pt idx="16">
                        <c:v>2426.1458590000002</c:v>
                      </c:pt>
                    </c:numCache>
                  </c:numRef>
                </c:val>
                <c:smooth val="0"/>
                <c:extLst>
                  <c:ext xmlns:c16="http://schemas.microsoft.com/office/drawing/2014/chart" uri="{C3380CC4-5D6E-409C-BE32-E72D297353CC}">
                    <c16:uniqueId val="{00000002-D9E1-4DD6-BF18-34E7E47DAF73}"/>
                  </c:ext>
                </c:extLst>
              </c15:ser>
            </c15:filteredLineSeries>
            <c15:filteredLineSeries>
              <c15:ser>
                <c:idx val="2"/>
                <c:order val="1"/>
                <c:tx>
                  <c:strRef>
                    <c:extLst xmlns:c15="http://schemas.microsoft.com/office/drawing/2012/chart">
                      <c:ext xmlns:c15="http://schemas.microsoft.com/office/drawing/2012/chart" uri="{02D57815-91ED-43cb-92C2-25804820EDAC}">
                        <c15:formulaRef>
                          <c15:sqref>Dechet!$D$2</c15:sqref>
                        </c15:formulaRef>
                      </c:ext>
                    </c:extLst>
                    <c:strCache>
                      <c:ptCount val="1"/>
                      <c:pt idx="0">
                        <c:v>TOTAL attenuation en KTEQ CO2(senario d'attenuation)</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Dechet!$B$3:$B$19</c15:sqref>
                        </c15:formulaRef>
                      </c:ext>
                    </c:extLst>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extLst xmlns:c15="http://schemas.microsoft.com/office/drawing/2012/chart">
                      <c:ext xmlns:c15="http://schemas.microsoft.com/office/drawing/2012/chart" uri="{02D57815-91ED-43cb-92C2-25804820EDAC}">
                        <c15:formulaRef>
                          <c15:sqref>Dechet!$D$3:$D$19</c15:sqref>
                        </c15:formulaRef>
                      </c:ext>
                    </c:extLst>
                    <c:numCache>
                      <c:formatCode>#,##0</c:formatCode>
                      <c:ptCount val="17"/>
                      <c:pt idx="0">
                        <c:v>951.80093199999999</c:v>
                      </c:pt>
                      <c:pt idx="1">
                        <c:v>1193.06916</c:v>
                      </c:pt>
                      <c:pt idx="2">
                        <c:v>1401.6833200000001</c:v>
                      </c:pt>
                      <c:pt idx="3">
                        <c:v>1587.6472799999999</c:v>
                      </c:pt>
                      <c:pt idx="4">
                        <c:v>1779.25927</c:v>
                      </c:pt>
                      <c:pt idx="5">
                        <c:v>1966.92732</c:v>
                      </c:pt>
                      <c:pt idx="6">
                        <c:v>2152.9606399999998</c:v>
                      </c:pt>
                      <c:pt idx="7">
                        <c:v>2177.0380500000001</c:v>
                      </c:pt>
                      <c:pt idx="8">
                        <c:v>2196.7736300000001</c:v>
                      </c:pt>
                      <c:pt idx="9">
                        <c:v>2215.6676600000001</c:v>
                      </c:pt>
                      <c:pt idx="10">
                        <c:v>2243.3835100000001</c:v>
                      </c:pt>
                      <c:pt idx="11">
                        <c:v>2202.5321300000001</c:v>
                      </c:pt>
                      <c:pt idx="12">
                        <c:v>2194.2658900000001</c:v>
                      </c:pt>
                      <c:pt idx="13">
                        <c:v>2194.15587</c:v>
                      </c:pt>
                      <c:pt idx="14">
                        <c:v>2185.2385399999998</c:v>
                      </c:pt>
                      <c:pt idx="15">
                        <c:v>2153.1653999999999</c:v>
                      </c:pt>
                      <c:pt idx="16">
                        <c:v>2118.7875100000001</c:v>
                      </c:pt>
                    </c:numCache>
                  </c:numRef>
                </c:val>
                <c:smooth val="0"/>
                <c:extLst xmlns:c15="http://schemas.microsoft.com/office/drawing/2012/chart">
                  <c:ext xmlns:c16="http://schemas.microsoft.com/office/drawing/2014/chart" uri="{C3380CC4-5D6E-409C-BE32-E72D297353CC}">
                    <c16:uniqueId val="{00000003-D9E1-4DD6-BF18-34E7E47DAF73}"/>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Dechet!$E$2</c15:sqref>
                        </c15:formulaRef>
                      </c:ext>
                    </c:extLst>
                    <c:strCache>
                      <c:ptCount val="1"/>
                      <c:pt idx="0">
                        <c:v>ecart</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Dechet!$B$3:$B$19</c15:sqref>
                        </c15:formulaRef>
                      </c:ext>
                    </c:extLst>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extLst xmlns:c15="http://schemas.microsoft.com/office/drawing/2012/chart">
                      <c:ext xmlns:c15="http://schemas.microsoft.com/office/drawing/2012/chart" uri="{02D57815-91ED-43cb-92C2-25804820EDAC}">
                        <c15:formulaRef>
                          <c15:sqref>Dechet!$E$3:$E$19</c15:sqref>
                        </c15:formulaRef>
                      </c:ext>
                    </c:extLst>
                    <c:numCache>
                      <c:formatCode>#,##0</c:formatCode>
                      <c:ptCount val="17"/>
                      <c:pt idx="0">
                        <c:v>-9.9999965641472954E-8</c:v>
                      </c:pt>
                      <c:pt idx="1">
                        <c:v>0</c:v>
                      </c:pt>
                      <c:pt idx="2">
                        <c:v>5.0000001010630513E-6</c:v>
                      </c:pt>
                      <c:pt idx="3">
                        <c:v>-3.0000001061125658E-6</c:v>
                      </c:pt>
                      <c:pt idx="4">
                        <c:v>1.9999999949504854E-6</c:v>
                      </c:pt>
                      <c:pt idx="5">
                        <c:v>1.0000001111620804E-6</c:v>
                      </c:pt>
                      <c:pt idx="6">
                        <c:v>-2.0000002223241609E-6</c:v>
                      </c:pt>
                      <c:pt idx="7">
                        <c:v>-1.99999976757681E-6</c:v>
                      </c:pt>
                      <c:pt idx="8">
                        <c:v>-8.330576999999721</c:v>
                      </c:pt>
                      <c:pt idx="9">
                        <c:v>-13.606498000000101</c:v>
                      </c:pt>
                      <c:pt idx="10">
                        <c:v>-13.96990199999982</c:v>
                      </c:pt>
                      <c:pt idx="11">
                        <c:v>-78.982781000000159</c:v>
                      </c:pt>
                      <c:pt idx="12">
                        <c:v>-115.30714699999999</c:v>
                      </c:pt>
                      <c:pt idx="13">
                        <c:v>-143.55980599999975</c:v>
                      </c:pt>
                      <c:pt idx="14">
                        <c:v>-180.61977500000012</c:v>
                      </c:pt>
                      <c:pt idx="15">
                        <c:v>-244.77443600000015</c:v>
                      </c:pt>
                      <c:pt idx="16">
                        <c:v>-307.35834900000009</c:v>
                      </c:pt>
                    </c:numCache>
                  </c:numRef>
                </c:val>
                <c:smooth val="0"/>
                <c:extLst xmlns:c15="http://schemas.microsoft.com/office/drawing/2012/chart">
                  <c:ext xmlns:c16="http://schemas.microsoft.com/office/drawing/2014/chart" uri="{C3380CC4-5D6E-409C-BE32-E72D297353CC}">
                    <c16:uniqueId val="{00000004-D9E1-4DD6-BF18-34E7E47DAF73}"/>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Dechet!$F$2</c15:sqref>
                        </c15:formulaRef>
                      </c:ext>
                    </c:extLst>
                    <c:strCache>
                      <c:ptCount val="1"/>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Dechet!$B$3:$B$19</c15:sqref>
                        </c15:formulaRef>
                      </c:ext>
                    </c:extLst>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extLst xmlns:c15="http://schemas.microsoft.com/office/drawing/2012/chart">
                      <c:ext xmlns:c15="http://schemas.microsoft.com/office/drawing/2012/chart" uri="{02D57815-91ED-43cb-92C2-25804820EDAC}">
                        <c15:formulaRef>
                          <c15:sqref>Dechet!$F$3:$F$19</c15:sqref>
                        </c15:formulaRef>
                      </c:ext>
                    </c:extLst>
                    <c:numCache>
                      <c:formatCode>General</c:formatCode>
                      <c:ptCount val="17"/>
                    </c:numCache>
                  </c:numRef>
                </c:val>
                <c:smooth val="0"/>
                <c:extLst xmlns:c15="http://schemas.microsoft.com/office/drawing/2012/chart">
                  <c:ext xmlns:c16="http://schemas.microsoft.com/office/drawing/2014/chart" uri="{C3380CC4-5D6E-409C-BE32-E72D297353CC}">
                    <c16:uniqueId val="{00000005-D9E1-4DD6-BF18-34E7E47DAF73}"/>
                  </c:ext>
                </c:extLst>
              </c15:ser>
            </c15:filteredLineSeries>
          </c:ext>
        </c:extLst>
      </c:lineChart>
      <c:catAx>
        <c:axId val="51873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412263056"/>
        <c:crosses val="autoZero"/>
        <c:auto val="1"/>
        <c:lblAlgn val="ctr"/>
        <c:lblOffset val="100"/>
        <c:noMultiLvlLbl val="0"/>
      </c:catAx>
      <c:valAx>
        <c:axId val="412263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51873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a:t>Evolution des Emissions et d'Atténuation Globales Nettes de GES : Scenario de base et Scenario d"attenuation - Ensemble des secteurs - Periode 2020 à 2030</a:t>
            </a:r>
          </a:p>
        </c:rich>
      </c:tx>
      <c:overlay val="0"/>
      <c:spPr>
        <a:noFill/>
        <a:ln>
          <a:noFill/>
        </a:ln>
        <a:effectLst/>
      </c:spPr>
    </c:title>
    <c:autoTitleDeleted val="0"/>
    <c:plotArea>
      <c:layout/>
      <c:lineChart>
        <c:grouping val="standard"/>
        <c:varyColors val="0"/>
        <c:ser>
          <c:idx val="5"/>
          <c:order val="4"/>
          <c:tx>
            <c:strRef>
              <c:f>Emission_Glob!$S$102</c:f>
              <c:strCache>
                <c:ptCount val="1"/>
                <c:pt idx="0">
                  <c:v>Emissions Globales Nettes (KT eq CO2)(Sccenario de Base)</c:v>
                </c:pt>
              </c:strCache>
            </c:strRef>
          </c:tx>
          <c:spPr>
            <a:ln w="34925" cap="rnd">
              <a:solidFill>
                <a:srgbClr val="C00000"/>
              </a:solidFill>
              <a:round/>
            </a:ln>
            <a:effectLst/>
          </c:spPr>
          <c:marker>
            <c:symbol val="none"/>
          </c:marker>
          <c:cat>
            <c:numRef>
              <c:f>Emission_Glob!$N$103:$N$108</c:f>
              <c:numCache>
                <c:formatCode>General</c:formatCode>
                <c:ptCount val="5"/>
                <c:pt idx="0">
                  <c:v>2019</c:v>
                </c:pt>
                <c:pt idx="1">
                  <c:v>2020</c:v>
                </c:pt>
                <c:pt idx="2" formatCode="#,##0">
                  <c:v>2025</c:v>
                </c:pt>
                <c:pt idx="3" formatCode="#,##0">
                  <c:v>2028</c:v>
                </c:pt>
                <c:pt idx="4">
                  <c:v>2030</c:v>
                </c:pt>
              </c:numCache>
              <c:extLst/>
            </c:numRef>
          </c:cat>
          <c:val>
            <c:numRef>
              <c:f>Emission_Glob!$S$103:$S$108</c:f>
              <c:numCache>
                <c:formatCode>#,##0</c:formatCode>
                <c:ptCount val="5"/>
                <c:pt idx="0">
                  <c:v>-228487.01409422664</c:v>
                </c:pt>
                <c:pt idx="1">
                  <c:v>-238943.41866674484</c:v>
                </c:pt>
                <c:pt idx="2">
                  <c:v>-227856.51812993575</c:v>
                </c:pt>
                <c:pt idx="3">
                  <c:v>-219440.01416027459</c:v>
                </c:pt>
                <c:pt idx="4">
                  <c:v>-211864.36883661471</c:v>
                </c:pt>
              </c:numCache>
              <c:extLst/>
            </c:numRef>
          </c:val>
          <c:smooth val="0"/>
          <c:extLst>
            <c:ext xmlns:c16="http://schemas.microsoft.com/office/drawing/2014/chart" uri="{C3380CC4-5D6E-409C-BE32-E72D297353CC}">
              <c16:uniqueId val="{00000000-65FF-4002-87BB-AE14F6346BD5}"/>
            </c:ext>
          </c:extLst>
        </c:ser>
        <c:ser>
          <c:idx val="6"/>
          <c:order val="5"/>
          <c:tx>
            <c:strRef>
              <c:f>Emission_Glob!$T$102</c:f>
              <c:strCache>
                <c:ptCount val="1"/>
                <c:pt idx="0">
                  <c:v>Emissions Globales Nettes (KT eq CO2) (Scenario d'Attenuation)</c:v>
                </c:pt>
              </c:strCache>
            </c:strRef>
          </c:tx>
          <c:spPr>
            <a:ln w="34925" cap="rnd">
              <a:solidFill>
                <a:srgbClr val="00B050"/>
              </a:solidFill>
              <a:round/>
            </a:ln>
            <a:effectLst/>
          </c:spPr>
          <c:marker>
            <c:symbol val="none"/>
          </c:marker>
          <c:cat>
            <c:numRef>
              <c:f>Emission_Glob!$N$103:$N$108</c:f>
              <c:numCache>
                <c:formatCode>General</c:formatCode>
                <c:ptCount val="5"/>
                <c:pt idx="0">
                  <c:v>2019</c:v>
                </c:pt>
                <c:pt idx="1">
                  <c:v>2020</c:v>
                </c:pt>
                <c:pt idx="2" formatCode="#,##0">
                  <c:v>2025</c:v>
                </c:pt>
                <c:pt idx="3" formatCode="#,##0">
                  <c:v>2028</c:v>
                </c:pt>
                <c:pt idx="4">
                  <c:v>2030</c:v>
                </c:pt>
              </c:numCache>
              <c:extLst/>
            </c:numRef>
          </c:cat>
          <c:val>
            <c:numRef>
              <c:f>Emission_Glob!$T$103:$T$108</c:f>
              <c:numCache>
                <c:formatCode>#,##0</c:formatCode>
                <c:ptCount val="5"/>
                <c:pt idx="0">
                  <c:v>-236310.57571422664</c:v>
                </c:pt>
                <c:pt idx="1">
                  <c:v>-235662.80051979481</c:v>
                </c:pt>
                <c:pt idx="2">
                  <c:v>-270217.40439972526</c:v>
                </c:pt>
                <c:pt idx="3">
                  <c:v>-287140.42275511776</c:v>
                </c:pt>
                <c:pt idx="4">
                  <c:v>-296482.76444907562</c:v>
                </c:pt>
              </c:numCache>
              <c:extLst/>
            </c:numRef>
          </c:val>
          <c:smooth val="0"/>
          <c:extLst>
            <c:ext xmlns:c16="http://schemas.microsoft.com/office/drawing/2014/chart" uri="{C3380CC4-5D6E-409C-BE32-E72D297353CC}">
              <c16:uniqueId val="{00000001-65FF-4002-87BB-AE14F6346BD5}"/>
            </c:ext>
          </c:extLst>
        </c:ser>
        <c:dLbls>
          <c:showLegendKey val="0"/>
          <c:showVal val="0"/>
          <c:showCatName val="0"/>
          <c:showSerName val="0"/>
          <c:showPercent val="0"/>
          <c:showBubbleSize val="0"/>
        </c:dLbls>
        <c:smooth val="0"/>
        <c:axId val="665637016"/>
        <c:axId val="665637408"/>
        <c:extLst>
          <c:ext xmlns:c15="http://schemas.microsoft.com/office/drawing/2012/chart" uri="{02D57815-91ED-43cb-92C2-25804820EDAC}">
            <c15:filteredLineSeries>
              <c15:ser>
                <c:idx val="1"/>
                <c:order val="0"/>
                <c:tx>
                  <c:strRef>
                    <c:extLst>
                      <c:ext uri="{02D57815-91ED-43cb-92C2-25804820EDAC}">
                        <c15:formulaRef>
                          <c15:sqref>Emission_Glob!$O$102</c15:sqref>
                        </c15:formulaRef>
                      </c:ext>
                    </c:extLst>
                    <c:strCache>
                      <c:ptCount val="1"/>
                      <c:pt idx="0">
                        <c:v>Sequestration (KT CO2 )</c:v>
                      </c:pt>
                    </c:strCache>
                  </c:strRef>
                </c:tx>
                <c:spPr>
                  <a:ln w="28575" cap="rnd">
                    <a:solidFill>
                      <a:schemeClr val="accent5"/>
                    </a:solidFill>
                    <a:round/>
                  </a:ln>
                  <a:effectLst/>
                </c:spPr>
                <c:marker>
                  <c:symbol val="none"/>
                </c:marker>
                <c:cat>
                  <c:numRef>
                    <c:extLst>
                      <c:ext uri="{02D57815-91ED-43cb-92C2-25804820EDAC}">
                        <c15:formulaRef>
                          <c15:sqref>Emission_Glob!$N$103:$N$108</c15:sqref>
                        </c15:formulaRef>
                      </c:ext>
                    </c:extLst>
                    <c:numCache>
                      <c:formatCode>General</c:formatCode>
                      <c:ptCount val="5"/>
                      <c:pt idx="0">
                        <c:v>2019</c:v>
                      </c:pt>
                      <c:pt idx="1">
                        <c:v>2020</c:v>
                      </c:pt>
                      <c:pt idx="2" formatCode="#,##0">
                        <c:v>2025</c:v>
                      </c:pt>
                      <c:pt idx="3" formatCode="#,##0">
                        <c:v>2028</c:v>
                      </c:pt>
                      <c:pt idx="4">
                        <c:v>2030</c:v>
                      </c:pt>
                    </c:numCache>
                  </c:numRef>
                </c:cat>
                <c:val>
                  <c:numRef>
                    <c:extLst>
                      <c:ext uri="{02D57815-91ED-43cb-92C2-25804820EDAC}">
                        <c15:formulaRef>
                          <c15:sqref>Emission_Glob!$O$103:$O$108</c15:sqref>
                        </c15:formulaRef>
                      </c:ext>
                    </c:extLst>
                    <c:numCache>
                      <c:formatCode>#,##0</c:formatCode>
                      <c:ptCount val="5"/>
                      <c:pt idx="0">
                        <c:v>-334424.77778422664</c:v>
                      </c:pt>
                      <c:pt idx="1">
                        <c:v>-334386.22853394481</c:v>
                      </c:pt>
                      <c:pt idx="2">
                        <c:v>-334193.54892605718</c:v>
                      </c:pt>
                      <c:pt idx="3">
                        <c:v>-334077.99445770733</c:v>
                      </c:pt>
                      <c:pt idx="4">
                        <c:v>-334000.98034376855</c:v>
                      </c:pt>
                    </c:numCache>
                  </c:numRef>
                </c:val>
                <c:smooth val="0"/>
                <c:extLst>
                  <c:ext xmlns:c16="http://schemas.microsoft.com/office/drawing/2014/chart" uri="{C3380CC4-5D6E-409C-BE32-E72D297353CC}">
                    <c16:uniqueId val="{00000002-65FF-4002-87BB-AE14F6346BD5}"/>
                  </c:ext>
                </c:extLst>
              </c15:ser>
            </c15:filteredLineSeries>
            <c15:filteredLineSeries>
              <c15:ser>
                <c:idx val="2"/>
                <c:order val="1"/>
                <c:tx>
                  <c:strRef>
                    <c:extLst xmlns:c15="http://schemas.microsoft.com/office/drawing/2012/chart">
                      <c:ext xmlns:c15="http://schemas.microsoft.com/office/drawing/2012/chart" uri="{02D57815-91ED-43cb-92C2-25804820EDAC}">
                        <c15:formulaRef>
                          <c15:sqref>Emission_Glob!$P$102</c15:sqref>
                        </c15:formulaRef>
                      </c:ext>
                    </c:extLst>
                    <c:strCache>
                      <c:ptCount val="1"/>
                      <c:pt idx="0">
                        <c:v>Sequest avec attenuation( KT CO2KT)</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Emission_Glob!$N$103:$N$108</c15:sqref>
                        </c15:formulaRef>
                      </c:ext>
                    </c:extLst>
                    <c:numCache>
                      <c:formatCode>General</c:formatCode>
                      <c:ptCount val="5"/>
                      <c:pt idx="0">
                        <c:v>2019</c:v>
                      </c:pt>
                      <c:pt idx="1">
                        <c:v>2020</c:v>
                      </c:pt>
                      <c:pt idx="2" formatCode="#,##0">
                        <c:v>2025</c:v>
                      </c:pt>
                      <c:pt idx="3" formatCode="#,##0">
                        <c:v>2028</c:v>
                      </c:pt>
                      <c:pt idx="4">
                        <c:v>2030</c:v>
                      </c:pt>
                    </c:numCache>
                  </c:numRef>
                </c:cat>
                <c:val>
                  <c:numRef>
                    <c:extLst xmlns:c15="http://schemas.microsoft.com/office/drawing/2012/chart">
                      <c:ext xmlns:c15="http://schemas.microsoft.com/office/drawing/2012/chart" uri="{02D57815-91ED-43cb-92C2-25804820EDAC}">
                        <c15:formulaRef>
                          <c15:sqref>Emission_Glob!$P$103:$P$108</c15:sqref>
                        </c15:formulaRef>
                      </c:ext>
                    </c:extLst>
                    <c:numCache>
                      <c:formatCode>#,##0</c:formatCode>
                      <c:ptCount val="5"/>
                      <c:pt idx="0">
                        <c:v>-334424.77778422664</c:v>
                      </c:pt>
                      <c:pt idx="1">
                        <c:v>-334386.22853394481</c:v>
                      </c:pt>
                      <c:pt idx="2">
                        <c:v>-357005.19651804253</c:v>
                      </c:pt>
                      <c:pt idx="3">
                        <c:v>-373998.37774368172</c:v>
                      </c:pt>
                      <c:pt idx="4">
                        <c:v>-391030.09932373196</c:v>
                      </c:pt>
                    </c:numCache>
                  </c:numRef>
                </c:val>
                <c:smooth val="0"/>
                <c:extLst xmlns:c15="http://schemas.microsoft.com/office/drawing/2012/chart">
                  <c:ext xmlns:c16="http://schemas.microsoft.com/office/drawing/2014/chart" uri="{C3380CC4-5D6E-409C-BE32-E72D297353CC}">
                    <c16:uniqueId val="{00000003-65FF-4002-87BB-AE14F6346BD5}"/>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Emission_Glob!$Q$102</c15:sqref>
                        </c15:formulaRef>
                      </c:ext>
                    </c:extLst>
                    <c:strCache>
                      <c:ptCount val="1"/>
                      <c:pt idx="0">
                        <c:v>Emission Globale(KT Eq CO2)T</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Emission_Glob!$N$103:$N$108</c15:sqref>
                        </c15:formulaRef>
                      </c:ext>
                    </c:extLst>
                    <c:numCache>
                      <c:formatCode>General</c:formatCode>
                      <c:ptCount val="5"/>
                      <c:pt idx="0">
                        <c:v>2019</c:v>
                      </c:pt>
                      <c:pt idx="1">
                        <c:v>2020</c:v>
                      </c:pt>
                      <c:pt idx="2" formatCode="#,##0">
                        <c:v>2025</c:v>
                      </c:pt>
                      <c:pt idx="3" formatCode="#,##0">
                        <c:v>2028</c:v>
                      </c:pt>
                      <c:pt idx="4">
                        <c:v>2030</c:v>
                      </c:pt>
                    </c:numCache>
                  </c:numRef>
                </c:cat>
                <c:val>
                  <c:numRef>
                    <c:extLst xmlns:c15="http://schemas.microsoft.com/office/drawing/2012/chart">
                      <c:ext xmlns:c15="http://schemas.microsoft.com/office/drawing/2012/chart" uri="{02D57815-91ED-43cb-92C2-25804820EDAC}">
                        <c15:formulaRef>
                          <c15:sqref>Emission_Glob!$Q$103:$Q$108</c15:sqref>
                        </c15:formulaRef>
                      </c:ext>
                    </c:extLst>
                    <c:numCache>
                      <c:formatCode>#,##0</c:formatCode>
                      <c:ptCount val="5"/>
                      <c:pt idx="0">
                        <c:v>105937.76369000001</c:v>
                      </c:pt>
                      <c:pt idx="1">
                        <c:v>95442.809867199991</c:v>
                      </c:pt>
                      <c:pt idx="2">
                        <c:v>106337.03079612143</c:v>
                      </c:pt>
                      <c:pt idx="3">
                        <c:v>114637.98029743273</c:v>
                      </c:pt>
                      <c:pt idx="4">
                        <c:v>122136.61150715382</c:v>
                      </c:pt>
                    </c:numCache>
                  </c:numRef>
                </c:val>
                <c:smooth val="0"/>
                <c:extLst xmlns:c15="http://schemas.microsoft.com/office/drawing/2012/chart">
                  <c:ext xmlns:c16="http://schemas.microsoft.com/office/drawing/2014/chart" uri="{C3380CC4-5D6E-409C-BE32-E72D297353CC}">
                    <c16:uniqueId val="{00000004-65FF-4002-87BB-AE14F6346BD5}"/>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Emission_Glob!$R$102</c15:sqref>
                        </c15:formulaRef>
                      </c:ext>
                    </c:extLst>
                    <c:strCache>
                      <c:ptCount val="1"/>
                      <c:pt idx="0">
                        <c:v>Emissions Globales avec programme d'attenuation(KT Eq CO2)</c:v>
                      </c:pt>
                    </c:strCache>
                  </c:strRef>
                </c:tx>
                <c:spPr>
                  <a:ln w="28575" cap="rnd">
                    <a:solidFill>
                      <a:schemeClr val="accent5">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Emission_Glob!$N$103:$N$108</c15:sqref>
                        </c15:formulaRef>
                      </c:ext>
                    </c:extLst>
                    <c:numCache>
                      <c:formatCode>General</c:formatCode>
                      <c:ptCount val="5"/>
                      <c:pt idx="0">
                        <c:v>2019</c:v>
                      </c:pt>
                      <c:pt idx="1">
                        <c:v>2020</c:v>
                      </c:pt>
                      <c:pt idx="2" formatCode="#,##0">
                        <c:v>2025</c:v>
                      </c:pt>
                      <c:pt idx="3" formatCode="#,##0">
                        <c:v>2028</c:v>
                      </c:pt>
                      <c:pt idx="4">
                        <c:v>2030</c:v>
                      </c:pt>
                    </c:numCache>
                  </c:numRef>
                </c:cat>
                <c:val>
                  <c:numRef>
                    <c:extLst xmlns:c15="http://schemas.microsoft.com/office/drawing/2012/chart">
                      <c:ext xmlns:c15="http://schemas.microsoft.com/office/drawing/2012/chart" uri="{02D57815-91ED-43cb-92C2-25804820EDAC}">
                        <c15:formulaRef>
                          <c15:sqref>Emission_Glob!$R$103:$R$108</c15:sqref>
                        </c15:formulaRef>
                      </c:ext>
                    </c:extLst>
                    <c:numCache>
                      <c:formatCode>#,##0</c:formatCode>
                      <c:ptCount val="5"/>
                      <c:pt idx="0">
                        <c:v>98114.202069999999</c:v>
                      </c:pt>
                      <c:pt idx="1">
                        <c:v>98723.428014150006</c:v>
                      </c:pt>
                      <c:pt idx="2">
                        <c:v>86787.792118317258</c:v>
                      </c:pt>
                      <c:pt idx="3">
                        <c:v>86857.954988563957</c:v>
                      </c:pt>
                      <c:pt idx="4">
                        <c:v>94547.334874656342</c:v>
                      </c:pt>
                    </c:numCache>
                  </c:numRef>
                </c:val>
                <c:smooth val="0"/>
                <c:extLst xmlns:c15="http://schemas.microsoft.com/office/drawing/2012/chart">
                  <c:ext xmlns:c16="http://schemas.microsoft.com/office/drawing/2014/chart" uri="{C3380CC4-5D6E-409C-BE32-E72D297353CC}">
                    <c16:uniqueId val="{00000005-65FF-4002-87BB-AE14F6346BD5}"/>
                  </c:ext>
                </c:extLst>
              </c15:ser>
            </c15:filteredLineSeries>
          </c:ext>
        </c:extLst>
      </c:lineChart>
      <c:catAx>
        <c:axId val="66563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665637408"/>
        <c:crosses val="autoZero"/>
        <c:auto val="1"/>
        <c:lblAlgn val="ctr"/>
        <c:lblOffset val="100"/>
        <c:noMultiLvlLbl val="0"/>
      </c:catAx>
      <c:valAx>
        <c:axId val="66563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665637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1587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b="1"/>
              <a:t>Proportions de émissions globales de GES par secteurs d'activités - Période 2020-2030</a:t>
            </a:r>
          </a:p>
        </c:rich>
      </c:tx>
      <c:layout>
        <c:manualLayout>
          <c:xMode val="edge"/>
          <c:yMode val="edge"/>
          <c:x val="0.10533508910887852"/>
          <c:y val="3.7082481254260398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35-43EA-80A9-1719B311AA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35-43EA-80A9-1719B311AA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35-43EA-80A9-1719B311AA6C}"/>
              </c:ext>
            </c:extLst>
          </c:dPt>
          <c:dLbls>
            <c:dLbl>
              <c:idx val="0"/>
              <c:layout>
                <c:manualLayout>
                  <c:x val="-0.13206725721784776"/>
                  <c:y val="-8.6559785696890976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035-43EA-80A9-1719B311AA6C}"/>
                </c:ext>
              </c:extLst>
            </c:dLbl>
            <c:dLbl>
              <c:idx val="2"/>
              <c:layout>
                <c:manualLayout>
                  <c:x val="1.0880187876468307E-2"/>
                  <c:y val="6.5051071070103966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035-43EA-80A9-1719B311AA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Emission_Glob!$X$104:$Z$104</c:f>
              <c:strCache>
                <c:ptCount val="3"/>
                <c:pt idx="0">
                  <c:v>Secteurs Agricult, Forest, changement d'Affectation des Trres (KT Eq CO2)</c:v>
                </c:pt>
                <c:pt idx="1">
                  <c:v>Secteur Energie (KT Eq CO2)</c:v>
                </c:pt>
                <c:pt idx="2">
                  <c:v>Secteur Déchet (KT Eq CO2)</c:v>
                </c:pt>
              </c:strCache>
            </c:strRef>
          </c:cat>
          <c:val>
            <c:numRef>
              <c:f>Emission_Glob!$X$105:$Z$105</c:f>
              <c:numCache>
                <c:formatCode>#,##0</c:formatCode>
                <c:ptCount val="3"/>
                <c:pt idx="0">
                  <c:v>81311.239505284844</c:v>
                </c:pt>
                <c:pt idx="1">
                  <c:v>38593.630524728054</c:v>
                </c:pt>
                <c:pt idx="2" formatCode="0">
                  <c:v>2231.7414771409276</c:v>
                </c:pt>
              </c:numCache>
            </c:numRef>
          </c:val>
          <c:extLst>
            <c:ext xmlns:c16="http://schemas.microsoft.com/office/drawing/2014/chart" uri="{C3380CC4-5D6E-409C-BE32-E72D297353CC}">
              <c16:uniqueId val="{00000006-2035-43EA-80A9-1719B311AA6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Proportion des emissions globale en équivalent CO2 par types de GES</a:t>
            </a:r>
          </a:p>
        </c:rich>
      </c:tx>
      <c:overlay val="0"/>
      <c:spPr>
        <a:noFill/>
        <a:ln>
          <a:noFill/>
        </a:ln>
        <a:effectLst/>
      </c:spPr>
    </c:title>
    <c:autoTitleDeleted val="0"/>
    <c:plotArea>
      <c:layout/>
      <c:pieChart>
        <c:varyColors val="1"/>
        <c:ser>
          <c:idx val="0"/>
          <c:order val="0"/>
          <c:tx>
            <c:strRef>
              <c:f>Emission_Glob!$AE$85:$AG$85</c:f>
              <c:strCache>
                <c:ptCount val="3"/>
                <c:pt idx="0">
                  <c:v> CO2</c:v>
                </c:pt>
                <c:pt idx="1">
                  <c:v> CH4</c:v>
                </c:pt>
                <c:pt idx="2">
                  <c:v> N2O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25-4D69-AE2F-395D6D4C14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25-4D69-AE2F-395D6D4C14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25-4D69-AE2F-395D6D4C14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Emission_Glob!$AE$85:$AG$85</c:f>
              <c:strCache>
                <c:ptCount val="3"/>
                <c:pt idx="0">
                  <c:v> CO2</c:v>
                </c:pt>
                <c:pt idx="1">
                  <c:v> CH4</c:v>
                </c:pt>
                <c:pt idx="2">
                  <c:v> N2O</c:v>
                </c:pt>
              </c:strCache>
            </c:strRef>
          </c:cat>
          <c:val>
            <c:numRef>
              <c:f>Emission_Glob!$AE$89:$AG$89</c:f>
              <c:numCache>
                <c:formatCode>#,##0</c:formatCode>
                <c:ptCount val="3"/>
                <c:pt idx="0">
                  <c:v>93134.667826110031</c:v>
                </c:pt>
                <c:pt idx="1">
                  <c:v>32854.168192165453</c:v>
                </c:pt>
                <c:pt idx="2">
                  <c:v>38551.691649681699</c:v>
                </c:pt>
              </c:numCache>
            </c:numRef>
          </c:val>
          <c:extLst>
            <c:ext xmlns:c16="http://schemas.microsoft.com/office/drawing/2014/chart" uri="{C3380CC4-5D6E-409C-BE32-E72D297353CC}">
              <c16:uniqueId val="{00000006-F125-4D69-AE2F-395D6D4C14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Consommation d'énergie finale par source en 2018  </a:t>
            </a:r>
          </a:p>
        </c:rich>
      </c:tx>
      <c:layout>
        <c:manualLayout>
          <c:xMode val="edge"/>
          <c:yMode val="edge"/>
          <c:x val="0.15964640783538422"/>
          <c:y val="3.747502756356142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363284134937676E-2"/>
          <c:y val="0.19532602697458598"/>
          <c:w val="0.94128636242327191"/>
          <c:h val="0.60674777615988185"/>
        </c:manualLayout>
      </c:layout>
      <c:pie3DChart>
        <c:varyColors val="1"/>
        <c:ser>
          <c:idx val="0"/>
          <c:order val="0"/>
          <c:tx>
            <c:strRef>
              <c:f>Feuil1!$L$22</c:f>
              <c:strCache>
                <c:ptCount val="1"/>
                <c:pt idx="0">
                  <c:v>consommation d'energie finale  </c:v>
                </c:pt>
              </c:strCache>
            </c:strRef>
          </c:tx>
          <c:dPt>
            <c:idx val="0"/>
            <c:bubble3D val="0"/>
            <c:explosion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154-4248-8A6A-42D1AAFD359C}"/>
              </c:ext>
            </c:extLst>
          </c:dPt>
          <c:dPt>
            <c:idx val="1"/>
            <c:bubble3D val="0"/>
            <c:explosion val="2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154-4248-8A6A-42D1AAFD359C}"/>
              </c:ext>
            </c:extLst>
          </c:dPt>
          <c:dPt>
            <c:idx val="2"/>
            <c:bubble3D val="0"/>
            <c:explosion val="1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4154-4248-8A6A-42D1AAFD35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Feuil1!$M$21:$O$21</c:f>
              <c:strCache>
                <c:ptCount val="3"/>
                <c:pt idx="0">
                  <c:v>produits petroliers</c:v>
                </c:pt>
                <c:pt idx="1">
                  <c:v>Biomasse</c:v>
                </c:pt>
                <c:pt idx="2">
                  <c:v>Electricité</c:v>
                </c:pt>
              </c:strCache>
            </c:strRef>
          </c:cat>
          <c:val>
            <c:numRef>
              <c:f>Feuil1!$M$22:$O$22</c:f>
              <c:numCache>
                <c:formatCode>General</c:formatCode>
                <c:ptCount val="3"/>
                <c:pt idx="0" formatCode="#,##0.00">
                  <c:v>1082.9000000000001</c:v>
                </c:pt>
                <c:pt idx="1">
                  <c:v>4133.2500000000009</c:v>
                </c:pt>
                <c:pt idx="2">
                  <c:v>294.85000000000002</c:v>
                </c:pt>
              </c:numCache>
            </c:numRef>
          </c:val>
          <c:extLst>
            <c:ext xmlns:c16="http://schemas.microsoft.com/office/drawing/2014/chart" uri="{C3380CC4-5D6E-409C-BE32-E72D297353CC}">
              <c16:uniqueId val="{00000006-4154-4248-8A6A-42D1AAFD359C}"/>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100"/>
              <a:t>Evolution des émission de CO2 (kT-Eq) sur la periode 2004 - 2017</a:t>
            </a:r>
          </a:p>
        </c:rich>
      </c:tx>
      <c:overlay val="0"/>
    </c:title>
    <c:autoTitleDeleted val="0"/>
    <c:plotArea>
      <c:layout/>
      <c:lineChart>
        <c:grouping val="stacked"/>
        <c:varyColors val="0"/>
        <c:ser>
          <c:idx val="0"/>
          <c:order val="0"/>
          <c:tx>
            <c:strRef>
              <c:f>Feuil5!$A$2</c:f>
              <c:strCache>
                <c:ptCount val="1"/>
                <c:pt idx="0">
                  <c:v>T-ECO2</c:v>
                </c:pt>
              </c:strCache>
            </c:strRef>
          </c:tx>
          <c:dLbls>
            <c:spPr>
              <a:noFill/>
              <a:ln>
                <a:noFill/>
              </a:ln>
              <a:effectLst/>
            </c:spPr>
            <c:txPr>
              <a:bodyPr rot="0" vert="horz"/>
              <a:lstStyle/>
              <a:p>
                <a:pPr>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Feuil5!$B$1:$O$1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Feuil5!$B$2:$O$2</c:f>
              <c:numCache>
                <c:formatCode>_(* #,##0_);_(* \(#,##0\);_(* "-"_);_(@_)</c:formatCode>
                <c:ptCount val="14"/>
                <c:pt idx="0">
                  <c:v>1597.1307389999999</c:v>
                </c:pt>
                <c:pt idx="1">
                  <c:v>1806.2800179999999</c:v>
                </c:pt>
                <c:pt idx="2">
                  <c:v>2041.129379</c:v>
                </c:pt>
                <c:pt idx="3">
                  <c:v>2597.1976110000001</c:v>
                </c:pt>
                <c:pt idx="4">
                  <c:v>2852.8045000000002</c:v>
                </c:pt>
                <c:pt idx="5">
                  <c:v>3133.8057432500004</c:v>
                </c:pt>
                <c:pt idx="6">
                  <c:v>3400.1792314262502</c:v>
                </c:pt>
                <c:pt idx="7">
                  <c:v>3564.257224</c:v>
                </c:pt>
                <c:pt idx="8">
                  <c:v>3572.6764710000002</c:v>
                </c:pt>
                <c:pt idx="9">
                  <c:v>3492.3568679999998</c:v>
                </c:pt>
                <c:pt idx="10">
                  <c:v>3713.6991760000001</c:v>
                </c:pt>
                <c:pt idx="11">
                  <c:v>4891.7085040000002</c:v>
                </c:pt>
                <c:pt idx="12">
                  <c:v>5006.9432669999997</c:v>
                </c:pt>
                <c:pt idx="13">
                  <c:v>5415.8481039999997</c:v>
                </c:pt>
              </c:numCache>
            </c:numRef>
          </c:val>
          <c:smooth val="0"/>
          <c:extLst>
            <c:ext xmlns:c16="http://schemas.microsoft.com/office/drawing/2014/chart" uri="{C3380CC4-5D6E-409C-BE32-E72D297353CC}">
              <c16:uniqueId val="{00000000-F92B-4EB1-89F1-207BB02FDA85}"/>
            </c:ext>
          </c:extLst>
        </c:ser>
        <c:dLbls>
          <c:dLblPos val="t"/>
          <c:showLegendKey val="0"/>
          <c:showVal val="1"/>
          <c:showCatName val="0"/>
          <c:showSerName val="0"/>
          <c:showPercent val="0"/>
          <c:showBubbleSize val="0"/>
        </c:dLbls>
        <c:marker val="1"/>
        <c:smooth val="0"/>
        <c:axId val="361854432"/>
        <c:axId val="361848944"/>
      </c:lineChart>
      <c:catAx>
        <c:axId val="361854432"/>
        <c:scaling>
          <c:orientation val="minMax"/>
        </c:scaling>
        <c:delete val="0"/>
        <c:axPos val="b"/>
        <c:numFmt formatCode="General" sourceLinked="1"/>
        <c:majorTickMark val="none"/>
        <c:minorTickMark val="none"/>
        <c:tickLblPos val="nextTo"/>
        <c:txPr>
          <a:bodyPr rot="-60000000" vert="horz"/>
          <a:lstStyle/>
          <a:p>
            <a:pPr>
              <a:defRPr/>
            </a:pPr>
            <a:endParaRPr lang="fr-FR"/>
          </a:p>
        </c:txPr>
        <c:crossAx val="361848944"/>
        <c:crosses val="autoZero"/>
        <c:auto val="1"/>
        <c:lblAlgn val="ctr"/>
        <c:lblOffset val="100"/>
        <c:noMultiLvlLbl val="0"/>
      </c:catAx>
      <c:valAx>
        <c:axId val="361848944"/>
        <c:scaling>
          <c:orientation val="minMax"/>
        </c:scaling>
        <c:delete val="0"/>
        <c:axPos val="l"/>
        <c:majorGridlines/>
        <c:title>
          <c:tx>
            <c:rich>
              <a:bodyPr rot="-5400000" vert="horz"/>
              <a:lstStyle/>
              <a:p>
                <a:pPr>
                  <a:defRPr/>
                </a:pPr>
                <a:r>
                  <a:rPr lang="fr-FR"/>
                  <a:t>émissions de CO2 en TEquivalent</a:t>
                </a:r>
              </a:p>
            </c:rich>
          </c:tx>
          <c:overlay val="0"/>
        </c:title>
        <c:numFmt formatCode="_(* #,##0_);_(* \(#,##0\);_(* &quot;-&quot;_);_(@_)" sourceLinked="1"/>
        <c:majorTickMark val="none"/>
        <c:minorTickMark val="none"/>
        <c:tickLblPos val="nextTo"/>
        <c:txPr>
          <a:bodyPr rot="-60000000" vert="horz"/>
          <a:lstStyle/>
          <a:p>
            <a:pPr>
              <a:defRPr/>
            </a:pPr>
            <a:endParaRPr lang="fr-FR"/>
          </a:p>
        </c:txPr>
        <c:crossAx val="361854432"/>
        <c:crosses val="autoZero"/>
        <c:crossBetween val="between"/>
      </c:valAx>
    </c:plotArea>
    <c:plotVisOnly val="1"/>
    <c:dispBlanksAs val="zero"/>
    <c:showDLblsOverMax val="0"/>
  </c:chart>
  <c:spPr>
    <a:noFill/>
    <a:ln>
      <a:noFill/>
    </a:ln>
    <a:effectLst>
      <a:outerShdw blurRad="50800" dist="38100" dir="5400000" algn="t" rotWithShape="0">
        <a:schemeClr val="bg1">
          <a:alpha val="40000"/>
        </a:schemeClr>
      </a:outerShdw>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r>
              <a:rPr lang="en-US" sz="1100" cap="none" baseline="0">
                <a:latin typeface="Times New Roman" panose="02020603050405020304" pitchFamily="18" charset="0"/>
                <a:cs typeface="Times New Roman" panose="02020603050405020304" pitchFamily="18" charset="0"/>
              </a:rPr>
              <a:t>Repartition des Emissions annuelles des GES directs (KT C02 eq) en 2017</a:t>
            </a:r>
            <a:endParaRPr lang="fr-FR" sz="1100" cap="none" baseline="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202828456031475E-2"/>
          <c:y val="0.21042529406046467"/>
          <c:w val="0.82186009357525958"/>
          <c:h val="0.6352140186340193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356-4FF5-B137-885AFFE7F5B5}"/>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356-4FF5-B137-885AFFE7F5B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356-4FF5-B137-885AFFE7F5B5}"/>
              </c:ext>
            </c:extLst>
          </c:dPt>
          <c:dPt>
            <c:idx val="3"/>
            <c:bubble3D val="0"/>
            <c:explosion val="21"/>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356-4FF5-B137-885AFFE7F5B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356-4FF5-B137-885AFFE7F5B5}"/>
              </c:ext>
            </c:extLst>
          </c:dPt>
          <c:dLbls>
            <c:dLbl>
              <c:idx val="1"/>
              <c:tx>
                <c:rich>
                  <a:bodyPr rot="0" spcFirstLastPara="1" vertOverflow="clip" horzOverflow="clip" vert="horz" wrap="square" lIns="38100" tIns="19050" rIns="38100" bIns="19050" anchor="ctr" anchorCtr="0">
                    <a:noAutofit/>
                  </a:bodyPr>
                  <a:lstStyle/>
                  <a:p>
                    <a:pPr algn="l">
                      <a:defRPr sz="800" b="1" i="0" u="none" strike="noStrike" kern="1200" baseline="0">
                        <a:solidFill>
                          <a:sysClr val="windowText" lastClr="000000"/>
                        </a:solidFill>
                        <a:latin typeface="+mn-lt"/>
                        <a:ea typeface="+mn-ea"/>
                        <a:cs typeface="+mn-cs"/>
                      </a:defRPr>
                    </a:pPr>
                    <a:fld id="{E0E45EFC-EDEB-482D-8B05-2DEFCBD86AC5}" type="CATEGORYNAME">
                      <a:rPr lang="en-US" sz="800">
                        <a:solidFill>
                          <a:sysClr val="windowText" lastClr="000000"/>
                        </a:solidFill>
                      </a:rPr>
                      <a:pPr algn="l">
                        <a:defRPr sz="800" b="1" i="0" u="none" strike="noStrike" kern="1200" baseline="0">
                          <a:solidFill>
                            <a:sysClr val="windowText" lastClr="000000"/>
                          </a:solidFill>
                          <a:latin typeface="+mn-lt"/>
                          <a:ea typeface="+mn-ea"/>
                          <a:cs typeface="+mn-cs"/>
                        </a:defRPr>
                      </a:pPr>
                      <a:t>[NOM DE CATÉGORIE]</a:t>
                    </a:fld>
                    <a:r>
                      <a:rPr lang="en-US" sz="800" baseline="0">
                        <a:solidFill>
                          <a:sysClr val="windowText" lastClr="000000"/>
                        </a:solidFill>
                      </a:rPr>
                      <a:t>; </a:t>
                    </a:r>
                    <a:fld id="{F2745560-A79A-4163-88E9-C71B6196477A}" type="VALUE">
                      <a:rPr lang="en-US" sz="800" baseline="0">
                        <a:solidFill>
                          <a:sysClr val="windowText" lastClr="000000"/>
                        </a:solidFill>
                      </a:rPr>
                      <a:pPr algn="l">
                        <a:defRPr sz="800" b="1" i="0" u="none" strike="noStrike" kern="1200" baseline="0">
                          <a:solidFill>
                            <a:sysClr val="windowText" lastClr="000000"/>
                          </a:solidFill>
                          <a:latin typeface="+mn-lt"/>
                          <a:ea typeface="+mn-ea"/>
                          <a:cs typeface="+mn-cs"/>
                        </a:defRPr>
                      </a:pPr>
                      <a:t>[VALEUR]</a:t>
                    </a:fld>
                    <a:endParaRPr lang="en-US" sz="800" baseline="0">
                      <a:solidFill>
                        <a:sysClr val="windowText" lastClr="000000"/>
                      </a:solidFill>
                    </a:endParaRPr>
                  </a:p>
                </c:rich>
              </c:tx>
              <c:spPr>
                <a:solidFill>
                  <a:schemeClr val="lt1"/>
                </a:solidFill>
                <a:ln>
                  <a:solidFill>
                    <a:schemeClr val="accent2"/>
                  </a:solidFill>
                </a:ln>
                <a:effectLst/>
              </c:sp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E356-4FF5-B137-885AFFE7F5B5}"/>
                </c:ext>
              </c:extLst>
            </c:dLbl>
            <c:dLbl>
              <c:idx val="2"/>
              <c:spPr>
                <a:solidFill>
                  <a:schemeClr val="lt1"/>
                </a:solidFill>
                <a:ln>
                  <a:solidFill>
                    <a:schemeClr val="accent3"/>
                  </a:solidFill>
                </a:ln>
                <a:effectLst/>
              </c:spPr>
              <c:txPr>
                <a:bodyPr rot="0" spcFirstLastPara="1" vertOverflow="clip" horzOverflow="clip" vert="horz" wrap="square" lIns="38100" tIns="19050" rIns="38100" bIns="19050" anchor="ctr" anchorCtr="0">
                  <a:noAutofit/>
                </a:bodyPr>
                <a:lstStyle/>
                <a:p>
                  <a:pPr algn="l">
                    <a:defRPr sz="800" b="1" i="0" u="none" strike="noStrike" kern="120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356-4FF5-B137-885AFFE7F5B5}"/>
                </c:ext>
              </c:extLst>
            </c:dLbl>
            <c:dLbl>
              <c:idx val="3"/>
              <c:spPr>
                <a:solidFill>
                  <a:schemeClr val="lt1"/>
                </a:solidFill>
                <a:ln>
                  <a:solidFill>
                    <a:schemeClr val="accent4"/>
                  </a:solidFill>
                </a:ln>
                <a:effectLst/>
              </c:spPr>
              <c:txPr>
                <a:bodyPr rot="0" spcFirstLastPara="1" vertOverflow="clip" horzOverflow="clip" vert="horz" wrap="square" lIns="38100" tIns="19050" rIns="38100" bIns="19050" anchor="ctr" anchorCtr="0">
                  <a:noAutofit/>
                </a:bodyPr>
                <a:lstStyle/>
                <a:p>
                  <a:pPr algn="l">
                    <a:defRPr sz="800" b="1" i="0" u="none" strike="noStrike" kern="120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E356-4FF5-B137-885AFFE7F5B5}"/>
                </c:ext>
              </c:extLst>
            </c:dLbl>
            <c:dLbl>
              <c:idx val="4"/>
              <c:layout>
                <c:manualLayout>
                  <c:x val="-7.4879417246757202E-2"/>
                  <c:y val="4.9254996971532405E-2"/>
                </c:manualLayout>
              </c:layout>
              <c:tx>
                <c:rich>
                  <a:bodyPr rot="0" spcFirstLastPara="1" vertOverflow="clip" horzOverflow="clip" vert="horz" wrap="square" lIns="38100" tIns="19050" rIns="38100" bIns="19050" anchor="ctr" anchorCtr="0">
                    <a:noAutofit/>
                  </a:bodyPr>
                  <a:lstStyle/>
                  <a:p>
                    <a:pPr algn="l">
                      <a:defRPr sz="800" b="1" i="0" u="none" strike="noStrike" kern="1200" baseline="0">
                        <a:solidFill>
                          <a:sysClr val="windowText" lastClr="000000"/>
                        </a:solidFill>
                        <a:latin typeface="+mn-lt"/>
                        <a:ea typeface="+mn-ea"/>
                        <a:cs typeface="+mn-cs"/>
                      </a:defRPr>
                    </a:pPr>
                    <a:fld id="{F421C256-B4A4-49E7-8C3A-A750EA6CE574}" type="CATEGORYNAME">
                      <a:rPr lang="en-US" sz="800">
                        <a:solidFill>
                          <a:sysClr val="windowText" lastClr="000000"/>
                        </a:solidFill>
                      </a:rPr>
                      <a:pPr algn="l">
                        <a:defRPr sz="800" b="1" i="0" u="none" strike="noStrike" kern="1200" baseline="0">
                          <a:solidFill>
                            <a:sysClr val="windowText" lastClr="000000"/>
                          </a:solidFill>
                          <a:latin typeface="+mn-lt"/>
                          <a:ea typeface="+mn-ea"/>
                          <a:cs typeface="+mn-cs"/>
                        </a:defRPr>
                      </a:pPr>
                      <a:t>[NOM DE CATÉGORIE]</a:t>
                    </a:fld>
                    <a:r>
                      <a:rPr lang="en-US" sz="800" baseline="0">
                        <a:solidFill>
                          <a:sysClr val="windowText" lastClr="000000"/>
                        </a:solidFill>
                      </a:rPr>
                      <a:t> (residentiels </a:t>
                    </a:r>
                    <a:fld id="{17212CFD-B0E9-4F18-BC10-58CE67DE6423}" type="VALUE">
                      <a:rPr lang="en-US" sz="800" baseline="0">
                        <a:solidFill>
                          <a:sysClr val="windowText" lastClr="000000"/>
                        </a:solidFill>
                      </a:rPr>
                      <a:pPr algn="l">
                        <a:defRPr sz="800" b="1" i="0" u="none" strike="noStrike" kern="1200" baseline="0">
                          <a:solidFill>
                            <a:sysClr val="windowText" lastClr="000000"/>
                          </a:solidFill>
                          <a:latin typeface="+mn-lt"/>
                          <a:ea typeface="+mn-ea"/>
                          <a:cs typeface="+mn-cs"/>
                        </a:defRPr>
                      </a:pPr>
                      <a:t>[VALEUR]</a:t>
                    </a:fld>
                    <a:r>
                      <a:rPr lang="en-US" sz="800" baseline="0">
                        <a:solidFill>
                          <a:sysClr val="windowText" lastClr="000000"/>
                        </a:solidFill>
                      </a:rPr>
                      <a:t>)</a:t>
                    </a:r>
                  </a:p>
                </c:rich>
              </c:tx>
              <c:spPr>
                <a:solidFill>
                  <a:schemeClr val="lt1"/>
                </a:solidFill>
                <a:ln>
                  <a:solidFill>
                    <a:schemeClr val="accent5"/>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E356-4FF5-B137-885AFFE7F5B5}"/>
                </c:ext>
              </c:extLst>
            </c:dLbl>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spc="0" baseline="0">
                    <a:solidFill>
                      <a:sysClr val="windowText" lastClr="000000"/>
                    </a:solidFill>
                    <a:latin typeface="+mn-lt"/>
                    <a:ea typeface="+mn-ea"/>
                    <a:cs typeface="+mn-cs"/>
                  </a:defRPr>
                </a:pPr>
                <a:endParaRPr lang="fr-F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Feuil2!$A$2:$A$6</c:f>
              <c:strCache>
                <c:ptCount val="5"/>
                <c:pt idx="0">
                  <c:v>Catégories de sources</c:v>
                </c:pt>
                <c:pt idx="1">
                  <c:v>1.A.1 -Industries énergétiques</c:v>
                </c:pt>
                <c:pt idx="2">
                  <c:v>1.A.2 - Industries manufacturières et construction</c:v>
                </c:pt>
                <c:pt idx="3">
                  <c:v>1.A.3 -Transport</c:v>
                </c:pt>
                <c:pt idx="4">
                  <c:v>1.A.4 -Autres secteurs</c:v>
                </c:pt>
              </c:strCache>
            </c:strRef>
          </c:cat>
          <c:val>
            <c:numRef>
              <c:f>Feuil2!$E$2:$E$6</c:f>
              <c:numCache>
                <c:formatCode>0%</c:formatCode>
                <c:ptCount val="5"/>
                <c:pt idx="1">
                  <c:v>0.31131689855500116</c:v>
                </c:pt>
                <c:pt idx="2">
                  <c:v>0.11541939759562427</c:v>
                </c:pt>
                <c:pt idx="3">
                  <c:v>0.39705066097057029</c:v>
                </c:pt>
                <c:pt idx="4">
                  <c:v>0.17621304287141851</c:v>
                </c:pt>
              </c:numCache>
            </c:numRef>
          </c:val>
          <c:extLst>
            <c:ext xmlns:c16="http://schemas.microsoft.com/office/drawing/2014/chart" uri="{C3380CC4-5D6E-409C-BE32-E72D297353CC}">
              <c16:uniqueId val="{0000000A-E356-4FF5-B137-885AFFE7F5B5}"/>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A6-4BCB-B52F-9B80F6454A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A6-4BCB-B52F-9B80F6454A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A6-4BCB-B52F-9B80F6454A9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Feuil1!$B$8:$D$8</c:f>
              <c:strCache>
                <c:ptCount val="3"/>
                <c:pt idx="0">
                  <c:v>CO2</c:v>
                </c:pt>
                <c:pt idx="1">
                  <c:v>CH4(en CO2eq)</c:v>
                </c:pt>
                <c:pt idx="2">
                  <c:v>NO2(en CO2eq)</c:v>
                </c:pt>
              </c:strCache>
            </c:strRef>
          </c:cat>
          <c:val>
            <c:numRef>
              <c:f>Feuil1!$B$9:$D$9</c:f>
              <c:numCache>
                <c:formatCode>0%</c:formatCode>
                <c:ptCount val="3"/>
                <c:pt idx="0">
                  <c:v>0.83397567606038903</c:v>
                </c:pt>
                <c:pt idx="1">
                  <c:v>0.12292637910951533</c:v>
                </c:pt>
                <c:pt idx="2">
                  <c:v>4.3097944830095172E-2</c:v>
                </c:pt>
              </c:numCache>
            </c:numRef>
          </c:val>
          <c:extLst>
            <c:ext xmlns:c16="http://schemas.microsoft.com/office/drawing/2014/chart" uri="{C3380CC4-5D6E-409C-BE32-E72D297353CC}">
              <c16:uniqueId val="{00000006-15A6-4BCB-B52F-9B80F6454A9A}"/>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4397061420675106"/>
          <c:y val="0.31840702821498801"/>
          <c:w val="0.15975886057532357"/>
          <c:h val="0.3409829370326412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100"/>
              <a:t>Emissions par sous secteur</a:t>
            </a:r>
          </a:p>
        </c:rich>
      </c:tx>
      <c:layout>
        <c:manualLayout>
          <c:xMode val="edge"/>
          <c:yMode val="edge"/>
          <c:x val="0.37539065356768486"/>
          <c:y val="2.7917574133020606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132013201320134E-2"/>
          <c:y val="0.22360482654600303"/>
          <c:w val="0.9092409240924092"/>
          <c:h val="0.48321932043562427"/>
        </c:manualLayout>
      </c:layout>
      <c:pie3DChart>
        <c:varyColors val="1"/>
        <c:ser>
          <c:idx val="0"/>
          <c:order val="0"/>
          <c:tx>
            <c:strRef>
              <c:f>'Rap final'!$J$36:$K$36</c:f>
              <c:strCache>
                <c:ptCount val="2"/>
                <c:pt idx="0">
                  <c:v>émissions totales par sous secteur</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AAC0-4CDD-9324-894E3CB00B54}"/>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AAC0-4CDD-9324-894E3CB00B54}"/>
              </c:ext>
            </c:extLst>
          </c:dPt>
          <c:dLbls>
            <c:dLbl>
              <c:idx val="0"/>
              <c:layout>
                <c:manualLayout>
                  <c:x val="3.9904129950403704E-2"/>
                  <c:y val="-1.098264368600832E-2"/>
                </c:manualLayout>
              </c:layout>
              <c:tx>
                <c:rich>
                  <a:bodyPr/>
                  <a:lstStyle/>
                  <a:p>
                    <a:r>
                      <a:rPr lang="en-US" baseline="0">
                        <a:solidFill>
                          <a:sysClr val="windowText" lastClr="000000"/>
                        </a:solidFill>
                      </a:rPr>
                      <a:t>Elevage</a:t>
                    </a:r>
                    <a:r>
                      <a:rPr lang="en-US" baseline="0"/>
                      <a:t>
</a:t>
                    </a:r>
                    <a:fld id="{83B30581-3327-489F-B867-21C401E09699}" type="PERCENTAGE">
                      <a:rPr lang="en-US" baseline="0"/>
                      <a:pPr/>
                      <a:t>[POURCENTAGE]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AC0-4CDD-9324-894E3CB00B54}"/>
                </c:ext>
              </c:extLst>
            </c:dLbl>
            <c:dLbl>
              <c:idx val="1"/>
              <c:layout>
                <c:manualLayout>
                  <c:x val="-4.2600899471669555E-2"/>
                  <c:y val="-6.22361967197539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C0-4CDD-9324-894E3CB00B54}"/>
                </c:ext>
              </c:extLst>
            </c:dLbl>
            <c:spPr>
              <a:noFill/>
              <a:ln>
                <a:noFill/>
              </a:ln>
              <a:effectLst/>
            </c:spPr>
            <c:txPr>
              <a:bodyPr rot="0" vert="horz"/>
              <a:lstStyle/>
              <a:p>
                <a:pPr>
                  <a:defRPr/>
                </a:pPr>
                <a:endParaRPr lang="fr-FR"/>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'Rap final'!$L$35:$M$35</c:f>
              <c:strCache>
                <c:ptCount val="2"/>
                <c:pt idx="0">
                  <c:v>élevage</c:v>
                </c:pt>
                <c:pt idx="1">
                  <c:v>Agriculture</c:v>
                </c:pt>
              </c:strCache>
            </c:strRef>
          </c:cat>
          <c:val>
            <c:numRef>
              <c:f>'Rap final'!$L$36:$M$36</c:f>
              <c:numCache>
                <c:formatCode>#,##0.00</c:formatCode>
                <c:ptCount val="2"/>
                <c:pt idx="0">
                  <c:v>24571.3</c:v>
                </c:pt>
                <c:pt idx="1">
                  <c:v>53470.607142857145</c:v>
                </c:pt>
              </c:numCache>
            </c:numRef>
          </c:val>
          <c:extLst>
            <c:ext xmlns:c16="http://schemas.microsoft.com/office/drawing/2014/chart" uri="{C3380CC4-5D6E-409C-BE32-E72D297353CC}">
              <c16:uniqueId val="{00000004-AAC0-4CDD-9324-894E3CB00B54}"/>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fr-FR"/>
        </a:p>
      </c:txPr>
    </c:legend>
    <c:plotVisOnly val="1"/>
    <c:dispBlanksAs val="gap"/>
    <c:showDLblsOverMax val="0"/>
  </c:chart>
  <c:spPr>
    <a:solidFill>
      <a:schemeClr val="lt1"/>
    </a:solidFill>
    <a:ln w="12700" cap="flat" cmpd="sng" algn="ctr">
      <a:noFill/>
      <a:prstDash val="solid"/>
      <a:miter lim="800000"/>
    </a:ln>
    <a:effectLst/>
  </c:spPr>
  <c:txPr>
    <a:bodyPr/>
    <a:lstStyle/>
    <a:p>
      <a:pPr>
        <a:defRPr>
          <a:ln>
            <a:solidFill>
              <a:schemeClr val="tx1"/>
            </a:solidFill>
            <a:prstDash val="sysDot"/>
          </a:ln>
          <a:solidFill>
            <a:schemeClr val="dk1"/>
          </a:solidFill>
          <a:latin typeface="+mn-lt"/>
          <a:ea typeface="+mn-ea"/>
          <a:cs typeface="+mn-cs"/>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fr-FR" sz="1200"/>
              <a:t>Emissions par sous-secteur et par type de gaz</a:t>
            </a:r>
          </a:p>
        </c:rich>
      </c:tx>
      <c:layout>
        <c:manualLayout>
          <c:xMode val="edge"/>
          <c:yMode val="edge"/>
          <c:x val="0.23647511674403854"/>
          <c:y val="2.7343611818482095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931970098233118E-2"/>
          <c:y val="0.18551010622995537"/>
          <c:w val="0.74072647346302889"/>
          <c:h val="0.75474518810148727"/>
        </c:manualLayout>
      </c:layout>
      <c:pie3DChart>
        <c:varyColors val="1"/>
        <c:ser>
          <c:idx val="0"/>
          <c:order val="0"/>
          <c:explosion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7C7-4826-8EAE-29D95C31256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7C7-4826-8EAE-29D95C31256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7C7-4826-8EAE-29D95C31256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7C7-4826-8EAE-29D95C312567}"/>
              </c:ext>
            </c:extLst>
          </c:dPt>
          <c:dLbls>
            <c:dLbl>
              <c:idx val="0"/>
              <c:layout>
                <c:manualLayout>
                  <c:x val="9.8824578163567045E-2"/>
                  <c:y val="0.150438227315636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C7-4826-8EAE-29D95C312567}"/>
                </c:ext>
              </c:extLst>
            </c:dLbl>
            <c:dLbl>
              <c:idx val="1"/>
              <c:layout>
                <c:manualLayout>
                  <c:x val="-5.8309503849575957E-2"/>
                  <c:y val="0.3016693122245661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408229915088175"/>
                      <c:h val="0.18176392572944297"/>
                    </c:manualLayout>
                  </c15:layout>
                </c:ext>
                <c:ext xmlns:c16="http://schemas.microsoft.com/office/drawing/2014/chart" uri="{C3380CC4-5D6E-409C-BE32-E72D297353CC}">
                  <c16:uniqueId val="{00000003-47C7-4826-8EAE-29D95C312567}"/>
                </c:ext>
              </c:extLst>
            </c:dLbl>
            <c:dLbl>
              <c:idx val="2"/>
              <c:layout>
                <c:manualLayout>
                  <c:x val="-0.11029047969265109"/>
                  <c:y val="-2.52976252636855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C7-4826-8EAE-29D95C312567}"/>
                </c:ext>
              </c:extLst>
            </c:dLbl>
            <c:dLbl>
              <c:idx val="3"/>
              <c:layout>
                <c:manualLayout>
                  <c:x val="-4.5703468227007257E-2"/>
                  <c:y val="7.8516155308172686E-2"/>
                </c:manualLayout>
              </c:layout>
              <c:spPr>
                <a:solidFill>
                  <a:sysClr val="window" lastClr="FFFFFF"/>
                </a:solidFill>
                <a:ln>
                  <a:noFill/>
                </a:ln>
                <a:effectLst>
                  <a:outerShdw blurRad="50800" dist="38100" dir="2700000" algn="tl" rotWithShape="0">
                    <a:prstClr val="black">
                      <a:alpha val="40000"/>
                    </a:prstClr>
                  </a:outerShdw>
                </a:effectLst>
              </c:spPr>
              <c:txPr>
                <a:bodyPr rot="0" vert="horz"/>
                <a:lstStyle/>
                <a:p>
                  <a:pPr algn="ctr">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22009746472932995"/>
                      <c:h val="0.27282837987426639"/>
                    </c:manualLayout>
                  </c15:layout>
                </c:ext>
                <c:ext xmlns:c16="http://schemas.microsoft.com/office/drawing/2014/chart" uri="{C3380CC4-5D6E-409C-BE32-E72D297353CC}">
                  <c16:uniqueId val="{00000007-47C7-4826-8EAE-29D95C312567}"/>
                </c:ext>
              </c:extLst>
            </c:dLbl>
            <c:spPr>
              <a:solidFill>
                <a:sysClr val="window" lastClr="FFFFFF"/>
              </a:solidFill>
              <a:ln>
                <a:noFill/>
              </a:ln>
              <a:effectLst>
                <a:outerShdw blurRad="50800" dist="38100" dir="2700000" algn="tl" rotWithShape="0">
                  <a:prstClr val="black">
                    <a:alpha val="40000"/>
                  </a:prstClr>
                </a:outerShdw>
              </a:effectLst>
            </c:spPr>
            <c:txPr>
              <a:bodyPr rot="0" vert="horz"/>
              <a:lstStyle/>
              <a:p>
                <a:pPr>
                  <a:defRPr/>
                </a:pPr>
                <a:endParaRPr lang="fr-F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'Rap final'!$J$14:$M$15</c:f>
              <c:multiLvlStrCache>
                <c:ptCount val="4"/>
                <c:lvl>
                  <c:pt idx="0">
                    <c:v>CH4</c:v>
                  </c:pt>
                  <c:pt idx="1">
                    <c:v>NO2</c:v>
                  </c:pt>
                  <c:pt idx="2">
                    <c:v>CH4</c:v>
                  </c:pt>
                  <c:pt idx="3">
                    <c:v>NO2</c:v>
                  </c:pt>
                </c:lvl>
                <c:lvl>
                  <c:pt idx="0">
                    <c:v>Elevage</c:v>
                  </c:pt>
                  <c:pt idx="2">
                    <c:v>Agriculture</c:v>
                  </c:pt>
                </c:lvl>
              </c:multiLvlStrCache>
            </c:multiLvlStrRef>
          </c:cat>
          <c:val>
            <c:numRef>
              <c:f>'Rap final'!$J$16:$M$16</c:f>
              <c:numCache>
                <c:formatCode>#,##0.00</c:formatCode>
                <c:ptCount val="4"/>
                <c:pt idx="0">
                  <c:v>15791.24857142857</c:v>
                </c:pt>
                <c:pt idx="1">
                  <c:v>8780.0514285714289</c:v>
                </c:pt>
                <c:pt idx="2">
                  <c:v>38026.252857142863</c:v>
                </c:pt>
                <c:pt idx="3">
                  <c:v>15444.354285714286</c:v>
                </c:pt>
              </c:numCache>
            </c:numRef>
          </c:val>
          <c:extLst>
            <c:ext xmlns:c16="http://schemas.microsoft.com/office/drawing/2014/chart" uri="{C3380CC4-5D6E-409C-BE32-E72D297353CC}">
              <c16:uniqueId val="{00000008-47C7-4826-8EAE-29D95C312567}"/>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5722092574701727"/>
          <c:y val="0.4113888740903327"/>
          <c:w val="0.23046566616451689"/>
          <c:h val="0.44761586499300321"/>
        </c:manualLayout>
      </c:layout>
      <c:overlay val="0"/>
      <c:spPr>
        <a:solidFill>
          <a:schemeClr val="lt1">
            <a:lumMod val="95000"/>
            <a:alpha val="39000"/>
          </a:schemeClr>
        </a:solidFill>
        <a:ln>
          <a:noFill/>
        </a:ln>
        <a:effectLst/>
      </c:spPr>
      <c:txPr>
        <a:bodyPr rot="0" vert="horz"/>
        <a:lstStyle/>
        <a:p>
          <a:pPr>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ln>
            <a:noFill/>
          </a:ln>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8"/>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FB-4684-A2AC-D6B66A8526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FB-4684-A2AC-D6B66A8526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FB-4684-A2AC-D6B66A85267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Dechet!$L$4:$N$4</c:f>
              <c:strCache>
                <c:ptCount val="3"/>
                <c:pt idx="0">
                  <c:v>CO2</c:v>
                </c:pt>
                <c:pt idx="1">
                  <c:v>CH4</c:v>
                </c:pt>
                <c:pt idx="2">
                  <c:v>N2O</c:v>
                </c:pt>
              </c:strCache>
            </c:strRef>
          </c:cat>
          <c:val>
            <c:numRef>
              <c:f>Dechet!$L$13:$N$13</c:f>
              <c:numCache>
                <c:formatCode>General</c:formatCode>
                <c:ptCount val="3"/>
                <c:pt idx="0">
                  <c:v>32.44</c:v>
                </c:pt>
                <c:pt idx="1">
                  <c:v>243.18</c:v>
                </c:pt>
                <c:pt idx="2">
                  <c:v>160.5</c:v>
                </c:pt>
              </c:numCache>
            </c:numRef>
          </c:val>
          <c:extLst>
            <c:ext xmlns:c16="http://schemas.microsoft.com/office/drawing/2014/chart" uri="{C3380CC4-5D6E-409C-BE32-E72D297353CC}">
              <c16:uniqueId val="{00000006-CDFB-4684-A2AC-D6B66A85267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sz="1100">
                <a:latin typeface="Times New Roman" panose="02020603050405020304" pitchFamily="18" charset="0"/>
                <a:cs typeface="Times New Roman" panose="02020603050405020304" pitchFamily="18" charset="0"/>
              </a:rPr>
              <a:t>Emissions des scénarios de base et d’atténuation 2018-2030 en eq KTE-CO2 </a:t>
            </a:r>
          </a:p>
        </c:rich>
      </c:tx>
      <c:layout>
        <c:manualLayout>
          <c:xMode val="edge"/>
          <c:yMode val="edge"/>
          <c:x val="0.16890937545850246"/>
          <c:y val="4.0940222708847784E-2"/>
        </c:manualLayout>
      </c:layout>
      <c:overlay val="0"/>
      <c:spPr>
        <a:noFill/>
        <a:ln>
          <a:noFill/>
        </a:ln>
        <a:effectLst/>
      </c:spPr>
    </c:title>
    <c:autoTitleDeleted val="0"/>
    <c:plotArea>
      <c:layout/>
      <c:lineChart>
        <c:grouping val="standard"/>
        <c:varyColors val="0"/>
        <c:ser>
          <c:idx val="1"/>
          <c:order val="0"/>
          <c:tx>
            <c:strRef>
              <c:f>Energie!$G$4</c:f>
              <c:strCache>
                <c:ptCount val="1"/>
                <c:pt idx="0">
                  <c:v>Emission KTE-CO2e Senario de base</c:v>
                </c:pt>
              </c:strCache>
            </c:strRef>
          </c:tx>
          <c:spPr>
            <a:ln w="31750" cap="rnd">
              <a:solidFill>
                <a:schemeClr val="accent2"/>
              </a:solidFill>
              <a:round/>
            </a:ln>
            <a:effectLst/>
          </c:spPr>
          <c:marker>
            <c:symbol val="none"/>
          </c:marker>
          <c:cat>
            <c:numRef>
              <c:f>Energie!$E$5:$E$20</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Energie!$G$5:$G$20</c:f>
              <c:numCache>
                <c:formatCode>#,##0</c:formatCode>
                <c:ptCount val="13"/>
                <c:pt idx="0">
                  <c:v>19179.852000000003</c:v>
                </c:pt>
                <c:pt idx="1">
                  <c:v>20330.643120000004</c:v>
                </c:pt>
                <c:pt idx="2">
                  <c:v>21550.481707200004</c:v>
                </c:pt>
                <c:pt idx="3">
                  <c:v>22843.510609632005</c:v>
                </c:pt>
                <c:pt idx="4">
                  <c:v>24214.121246209928</c:v>
                </c:pt>
                <c:pt idx="5">
                  <c:v>25666.968520982526</c:v>
                </c:pt>
                <c:pt idx="6">
                  <c:v>27206.986632241478</c:v>
                </c:pt>
                <c:pt idx="7">
                  <c:v>28839.405830175969</c:v>
                </c:pt>
                <c:pt idx="8">
                  <c:v>30569.770179986528</c:v>
                </c:pt>
                <c:pt idx="9">
                  <c:v>32403.956390785723</c:v>
                </c:pt>
                <c:pt idx="10">
                  <c:v>34348.193774232866</c:v>
                </c:pt>
                <c:pt idx="11">
                  <c:v>36409.085400686839</c:v>
                </c:pt>
                <c:pt idx="12">
                  <c:v>38593.630524728054</c:v>
                </c:pt>
              </c:numCache>
              <c:extLst/>
            </c:numRef>
          </c:val>
          <c:smooth val="0"/>
          <c:extLst>
            <c:ext xmlns:c16="http://schemas.microsoft.com/office/drawing/2014/chart" uri="{C3380CC4-5D6E-409C-BE32-E72D297353CC}">
              <c16:uniqueId val="{00000000-F085-4F5A-A1F2-E9DB1C1E20E0}"/>
            </c:ext>
          </c:extLst>
        </c:ser>
        <c:ser>
          <c:idx val="2"/>
          <c:order val="1"/>
          <c:tx>
            <c:strRef>
              <c:f>Energie!$H$4</c:f>
              <c:strCache>
                <c:ptCount val="1"/>
                <c:pt idx="0">
                  <c:v>Attenuation en KT CO2(senario d'attenuation</c:v>
                </c:pt>
              </c:strCache>
            </c:strRef>
          </c:tx>
          <c:spPr>
            <a:ln w="31750" cap="rnd">
              <a:solidFill>
                <a:schemeClr val="accent3"/>
              </a:solidFill>
              <a:round/>
            </a:ln>
            <a:effectLst/>
          </c:spPr>
          <c:marker>
            <c:symbol val="none"/>
          </c:marker>
          <c:cat>
            <c:numRef>
              <c:f>Energie!$E$5:$E$20</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extLst/>
            </c:numRef>
          </c:cat>
          <c:val>
            <c:numRef>
              <c:f>Energie!$H$5:$H$20</c:f>
              <c:numCache>
                <c:formatCode>#,##0</c:formatCode>
                <c:ptCount val="13"/>
                <c:pt idx="0">
                  <c:v>19179.852000000003</c:v>
                </c:pt>
                <c:pt idx="1">
                  <c:v>20330.643120000004</c:v>
                </c:pt>
                <c:pt idx="2">
                  <c:v>21550.481707200004</c:v>
                </c:pt>
                <c:pt idx="3">
                  <c:v>18086.040518034162</c:v>
                </c:pt>
                <c:pt idx="4">
                  <c:v>19091.154984857974</c:v>
                </c:pt>
                <c:pt idx="5">
                  <c:v>19628.708476523832</c:v>
                </c:pt>
                <c:pt idx="6">
                  <c:v>20152.314634351878</c:v>
                </c:pt>
                <c:pt idx="7">
                  <c:v>21235.152702315088</c:v>
                </c:pt>
                <c:pt idx="8">
                  <c:v>20837.168901858662</c:v>
                </c:pt>
                <c:pt idx="9">
                  <c:v>22573.531848081901</c:v>
                </c:pt>
                <c:pt idx="10">
                  <c:v>22029.145380716698</c:v>
                </c:pt>
                <c:pt idx="11">
                  <c:v>24241.169059777298</c:v>
                </c:pt>
                <c:pt idx="12">
                  <c:v>26629.605062062357</c:v>
                </c:pt>
              </c:numCache>
              <c:extLst/>
            </c:numRef>
          </c:val>
          <c:smooth val="0"/>
          <c:extLst>
            <c:ext xmlns:c16="http://schemas.microsoft.com/office/drawing/2014/chart" uri="{C3380CC4-5D6E-409C-BE32-E72D297353CC}">
              <c16:uniqueId val="{00000001-F085-4F5A-A1F2-E9DB1C1E20E0}"/>
            </c:ext>
          </c:extLst>
        </c:ser>
        <c:dLbls>
          <c:showLegendKey val="0"/>
          <c:showVal val="0"/>
          <c:showCatName val="0"/>
          <c:showSerName val="0"/>
          <c:showPercent val="0"/>
          <c:showBubbleSize val="0"/>
        </c:dLbls>
        <c:smooth val="0"/>
        <c:axId val="416422264"/>
        <c:axId val="416423048"/>
      </c:lineChart>
      <c:catAx>
        <c:axId val="41642226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416423048"/>
        <c:crosses val="autoZero"/>
        <c:auto val="1"/>
        <c:lblAlgn val="ctr"/>
        <c:lblOffset val="100"/>
        <c:noMultiLvlLbl val="0"/>
      </c:catAx>
      <c:valAx>
        <c:axId val="41642304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4164222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2023-02-03T12:00:00+00:00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Mali</TermName>
          <TermId xmlns="http://schemas.microsoft.com/office/infopath/2007/PartnerControls">60b115b0-b60b-4fa6-9a61-ae1e779981bf</TermId>
        </TermInfo>
      </Terms>
    </UNDPCountryTaxHTField0>
    <UndpOUCode xmlns="1ed4137b-41b2-488b-8250-6d369ec27664">MLI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Conservation and sustainable use of biodiversity</TermName>
          <TermId xmlns="http://schemas.microsoft.com/office/infopath/2007/PartnerControls">4c344357-9212-4471-9d62-07c8dcbfce93</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2022-12-31T05:00:00+00:00</Document_x0020_Coverage_x0020_Period_x0020_Start_x0020_Date>
    <Document_x0020_Coverage_x0020_Period_x0020_End_x0020_Date xmlns="f1161f5b-24a3-4c2d-bc81-44cb9325e8ee">2022-12-31T05:00:00+00:00</Document_x0020_Coverage_x0020_Period_x0020_End_x0020_Date>
    <Project_x0020_Number xmlns="f1161f5b-24a3-4c2d-bc81-44cb9325e8ee" xsi:nil="true"/>
    <Project_x0020_Manager xmlns="f1161f5b-24a3-4c2d-bc81-44cb9325e8ee" xsi:nil="true"/>
    <TaxCatchAll xmlns="1ed4137b-41b2-488b-8250-6d369ec27664">
      <Value>763</Value>
      <Value>233</Value>
      <Value>349</Value>
      <Value>1522</Value>
      <Value>1545</Value>
      <Value>1107</Value>
    </TaxCatchAll>
    <c4e2ab2cc9354bbf9064eeb465a566ea xmlns="1ed4137b-41b2-488b-8250-6d369ec27664">
      <Terms xmlns="http://schemas.microsoft.com/office/infopath/2007/PartnerControls"/>
    </c4e2ab2cc9354bbf9064eeb465a566ea>
    <UndpProjectNo xmlns="1ed4137b-41b2-488b-8250-6d369ec27664">00061686</UndpProjectNo>
    <UndpDocStatus xmlns="1ed4137b-41b2-488b-8250-6d369ec27664">Final</UndpDocStatus>
    <Outcome1 xmlns="f1161f5b-24a3-4c2d-bc81-44cb9325e8ee">00119692</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MLI</TermName>
          <TermId xmlns="http://schemas.microsoft.com/office/infopath/2007/PartnerControls">7a870009-9966-4078-9dda-f4f8eecee481</TermId>
        </TermInfo>
      </Terms>
    </gc6531b704974d528487414686b72f6f>
    <_dlc_DocId xmlns="f1161f5b-24a3-4c2d-bc81-44cb9325e8ee">ATLASPDC-4-168696</_dlc_DocId>
    <_dlc_DocIdUrl xmlns="f1161f5b-24a3-4c2d-bc81-44cb9325e8ee">
      <Url>https://info.undp.org/docs/pdc/_layouts/DocIdRedir.aspx?ID=ATLASPDC-4-168696</Url>
      <Description>ATLASPDC-4-168696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72C8468-EB2D-4CAF-BF62-C65370BF72C7}"/>
</file>

<file path=customXml/itemProps2.xml><?xml version="1.0" encoding="utf-8"?>
<ds:datastoreItem xmlns:ds="http://schemas.openxmlformats.org/officeDocument/2006/customXml" ds:itemID="{7EC9AE35-0DD1-402D-BB99-4A28349C5871}"/>
</file>

<file path=customXml/itemProps3.xml><?xml version="1.0" encoding="utf-8"?>
<ds:datastoreItem xmlns:ds="http://schemas.openxmlformats.org/officeDocument/2006/customXml" ds:itemID="{B080913E-8E2E-4769-8AB1-391C5DADAE8B}"/>
</file>

<file path=customXml/itemProps4.xml><?xml version="1.0" encoding="utf-8"?>
<ds:datastoreItem xmlns:ds="http://schemas.openxmlformats.org/officeDocument/2006/customXml" ds:itemID="{0C4D7342-3F11-4876-A8AC-5ADB4182389E}"/>
</file>

<file path=customXml/itemProps5.xml><?xml version="1.0" encoding="utf-8"?>
<ds:datastoreItem xmlns:ds="http://schemas.openxmlformats.org/officeDocument/2006/customXml" ds:itemID="{DD924DE6-124C-458F-9331-0D3298A30061}"/>
</file>

<file path=docProps/app.xml><?xml version="1.0" encoding="utf-8"?>
<Properties xmlns="http://schemas.openxmlformats.org/officeDocument/2006/extended-properties" xmlns:vt="http://schemas.openxmlformats.org/officeDocument/2006/docPropsVTypes">
  <Template>Normal</Template>
  <TotalTime>1</TotalTime>
  <Pages>3</Pages>
  <Words>32400</Words>
  <Characters>177557</Characters>
  <Application>Microsoft Office Word</Application>
  <DocSecurity>0</DocSecurity>
  <Lines>2731</Lines>
  <Paragraphs>480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nationale Determinée au niveau national</dc:title>
  <dc:subject/>
  <dc:creator>Ministère de l'environnement</dc:creator>
  <cp:keywords/>
  <dc:description/>
  <cp:lastModifiedBy>Safia Guindo</cp:lastModifiedBy>
  <cp:revision>2</cp:revision>
  <dcterms:created xsi:type="dcterms:W3CDTF">2023-02-03T12:34:00Z</dcterms:created>
  <dcterms:modified xsi:type="dcterms:W3CDTF">2023-02-03T12:34:00Z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1545;#Mali|60b115b0-b60b-4fa6-9a61-ae1e779981bf</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1522;#MLI|7a870009-9966-4078-9dda-f4f8eecee481</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349;#Conservation and sustainable use of biodiversity|4c344357-9212-4471-9d62-07c8dcbfce93</vt:lpwstr>
  </property>
  <property fmtid="{D5CDD505-2E9C-101B-9397-08002B2CF9AE}" pid="13" name="_dlc_DocIdItemGuid">
    <vt:lpwstr>47b0aef3-d3b1-4026-8c62-f9ac4c9a1345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